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D439E7">
      <w:pPr>
        <w:pStyle w:val="5"/>
        <w:shd w:val="clear" w:color="auto" w:fill="FFFFFF"/>
        <w:adjustRightInd w:val="0"/>
        <w:snapToGrid w:val="0"/>
        <w:spacing w:before="0" w:after="0" w:line="300" w:lineRule="auto"/>
        <w:jc w:val="center"/>
        <w:rPr>
          <w:rFonts w:hint="eastAsia" w:ascii="宋体" w:hAnsi="宋体"/>
          <w:b/>
          <w:bCs/>
          <w:color w:val="auto"/>
          <w:sz w:val="32"/>
          <w:szCs w:val="32"/>
        </w:rPr>
      </w:pPr>
      <w:r>
        <w:rPr>
          <w:rFonts w:hint="eastAsia" w:ascii="宋体" w:hAnsi="宋体"/>
          <w:b/>
          <w:bCs/>
          <w:color w:val="auto"/>
          <w:sz w:val="32"/>
          <w:szCs w:val="32"/>
        </w:rPr>
        <w:t>芜湖学院办公桌椅、档案柜、货架采购项目合同</w:t>
      </w:r>
    </w:p>
    <w:p w14:paraId="0683B7E8">
      <w:pPr>
        <w:shd w:val="clear" w:color="auto" w:fill="FFFFFF"/>
        <w:adjustRightInd w:val="0"/>
        <w:snapToGrid w:val="0"/>
        <w:spacing w:line="360" w:lineRule="exact"/>
        <w:jc w:val="left"/>
        <w:rPr>
          <w:rFonts w:ascii="宋体" w:hAnsi="宋体"/>
          <w:color w:val="auto"/>
          <w:sz w:val="24"/>
        </w:rPr>
      </w:pPr>
    </w:p>
    <w:p w14:paraId="7FD843E0">
      <w:pPr>
        <w:keepNext w:val="0"/>
        <w:keepLines w:val="0"/>
        <w:pageBreakBefore w:val="0"/>
        <w:widowControl w:val="0"/>
        <w:shd w:val="clear" w:color="auto" w:fill="FFFFFF"/>
        <w:kinsoku/>
        <w:wordWrap/>
        <w:overflowPunct/>
        <w:topLinePunct w:val="0"/>
        <w:autoSpaceDE/>
        <w:autoSpaceDN/>
        <w:bidi w:val="0"/>
        <w:adjustRightInd w:val="0"/>
        <w:snapToGrid w:val="0"/>
        <w:spacing w:line="420" w:lineRule="exact"/>
        <w:jc w:val="left"/>
        <w:textAlignment w:val="auto"/>
        <w:rPr>
          <w:rFonts w:ascii="宋体" w:hAnsi="宋体"/>
          <w:color w:val="auto"/>
          <w:sz w:val="24"/>
        </w:rPr>
      </w:pPr>
      <w:r>
        <w:rPr>
          <w:rFonts w:hint="eastAsia" w:ascii="宋体" w:hAnsi="宋体"/>
          <w:color w:val="auto"/>
          <w:sz w:val="24"/>
        </w:rPr>
        <w:t>甲方：芜湖学院（简称甲方）</w:t>
      </w:r>
    </w:p>
    <w:p w14:paraId="64F97EA5">
      <w:pPr>
        <w:keepNext w:val="0"/>
        <w:keepLines w:val="0"/>
        <w:pageBreakBefore w:val="0"/>
        <w:widowControl w:val="0"/>
        <w:shd w:val="clear" w:color="auto" w:fill="FFFFFF"/>
        <w:kinsoku/>
        <w:wordWrap/>
        <w:overflowPunct/>
        <w:topLinePunct w:val="0"/>
        <w:autoSpaceDE/>
        <w:autoSpaceDN/>
        <w:bidi w:val="0"/>
        <w:adjustRightInd w:val="0"/>
        <w:snapToGrid w:val="0"/>
        <w:spacing w:line="420" w:lineRule="exact"/>
        <w:jc w:val="left"/>
        <w:textAlignment w:val="auto"/>
        <w:rPr>
          <w:rFonts w:ascii="宋体" w:hAnsi="宋体"/>
          <w:color w:val="auto"/>
          <w:sz w:val="24"/>
        </w:rPr>
      </w:pPr>
      <w:r>
        <w:rPr>
          <w:rFonts w:hint="eastAsia" w:ascii="宋体" w:hAnsi="宋体"/>
          <w:color w:val="auto"/>
          <w:sz w:val="24"/>
        </w:rPr>
        <w:t>乙方：（简称乙方）</w:t>
      </w:r>
    </w:p>
    <w:p w14:paraId="33D17472">
      <w:pPr>
        <w:keepNext w:val="0"/>
        <w:keepLines w:val="0"/>
        <w:pageBreakBefore w:val="0"/>
        <w:widowControl w:val="0"/>
        <w:shd w:val="clear" w:color="auto" w:fill="FFFFFF"/>
        <w:kinsoku/>
        <w:wordWrap/>
        <w:overflowPunct/>
        <w:topLinePunct w:val="0"/>
        <w:autoSpaceDE/>
        <w:autoSpaceDN/>
        <w:bidi w:val="0"/>
        <w:adjustRightInd w:val="0"/>
        <w:snapToGrid w:val="0"/>
        <w:spacing w:line="420" w:lineRule="exact"/>
        <w:textAlignment w:val="auto"/>
        <w:rPr>
          <w:rFonts w:ascii="宋体" w:hAnsi="宋体"/>
          <w:b/>
          <w:color w:val="auto"/>
          <w:sz w:val="24"/>
        </w:rPr>
      </w:pPr>
      <w:r>
        <w:rPr>
          <w:rFonts w:hint="eastAsia" w:ascii="宋体" w:hAnsi="宋体"/>
          <w:b/>
          <w:color w:val="auto"/>
          <w:sz w:val="24"/>
        </w:rPr>
        <w:t>一、项目概况</w:t>
      </w:r>
    </w:p>
    <w:p w14:paraId="50C40F8A">
      <w:pPr>
        <w:keepNext w:val="0"/>
        <w:keepLines w:val="0"/>
        <w:pageBreakBefore w:val="0"/>
        <w:widowControl w:val="0"/>
        <w:tabs>
          <w:tab w:val="left" w:pos="432"/>
        </w:tabs>
        <w:kinsoku/>
        <w:wordWrap/>
        <w:overflowPunct/>
        <w:topLinePunct w:val="0"/>
        <w:autoSpaceDE/>
        <w:autoSpaceDN/>
        <w:bidi w:val="0"/>
        <w:spacing w:line="420" w:lineRule="exact"/>
        <w:ind w:firstLine="480" w:firstLineChars="200"/>
        <w:textAlignment w:val="auto"/>
        <w:rPr>
          <w:rFonts w:ascii="宋体" w:hAnsi="宋体"/>
          <w:color w:val="auto"/>
          <w:sz w:val="24"/>
        </w:rPr>
      </w:pPr>
      <w:r>
        <w:rPr>
          <w:rFonts w:hint="eastAsia" w:ascii="宋体" w:hAnsi="宋体"/>
          <w:color w:val="auto"/>
          <w:sz w:val="24"/>
        </w:rPr>
        <w:t>1.项目名称：芜湖学院办公桌椅采购项目</w:t>
      </w:r>
    </w:p>
    <w:p w14:paraId="7E510DAC">
      <w:pPr>
        <w:keepNext w:val="0"/>
        <w:keepLines w:val="0"/>
        <w:pageBreakBefore w:val="0"/>
        <w:widowControl w:val="0"/>
        <w:tabs>
          <w:tab w:val="left" w:pos="432"/>
        </w:tabs>
        <w:kinsoku/>
        <w:wordWrap/>
        <w:overflowPunct/>
        <w:topLinePunct w:val="0"/>
        <w:autoSpaceDE/>
        <w:autoSpaceDN/>
        <w:bidi w:val="0"/>
        <w:spacing w:line="420" w:lineRule="exact"/>
        <w:ind w:firstLine="480" w:firstLineChars="200"/>
        <w:textAlignment w:val="auto"/>
        <w:rPr>
          <w:rFonts w:hint="eastAsia" w:ascii="宋体" w:hAnsi="宋体"/>
          <w:color w:val="auto"/>
          <w:sz w:val="24"/>
        </w:rPr>
      </w:pPr>
      <w:r>
        <w:rPr>
          <w:rFonts w:hint="eastAsia" w:ascii="宋体" w:hAnsi="宋体"/>
          <w:color w:val="auto"/>
          <w:sz w:val="24"/>
        </w:rPr>
        <w:t>2.项目内容：</w:t>
      </w:r>
      <w:r>
        <w:rPr>
          <w:rFonts w:hint="eastAsia" w:ascii="宋体" w:hAnsi="宋体"/>
          <w:color w:val="auto"/>
          <w:sz w:val="24"/>
          <w:lang w:val="en-US" w:eastAsia="zh-CN"/>
        </w:rPr>
        <w:t>办公桌70个工位，档案柜202个，货架96个，条桌52张，椅子238把，独立办公桌椅2套，会议桌1张，塑料靠背椅22把。</w:t>
      </w:r>
    </w:p>
    <w:p w14:paraId="460B71FA">
      <w:pPr>
        <w:keepNext w:val="0"/>
        <w:keepLines w:val="0"/>
        <w:pageBreakBefore w:val="0"/>
        <w:widowControl w:val="0"/>
        <w:kinsoku/>
        <w:wordWrap/>
        <w:overflowPunct/>
        <w:topLinePunct w:val="0"/>
        <w:autoSpaceDE/>
        <w:autoSpaceDN/>
        <w:bidi w:val="0"/>
        <w:spacing w:line="420" w:lineRule="exact"/>
        <w:textAlignment w:val="auto"/>
        <w:rPr>
          <w:rFonts w:ascii="宋体" w:hAnsi="宋体"/>
          <w:b/>
          <w:bCs/>
          <w:color w:val="auto"/>
          <w:sz w:val="24"/>
        </w:rPr>
      </w:pPr>
      <w:r>
        <w:rPr>
          <w:rFonts w:hint="eastAsia" w:ascii="宋体" w:hAnsi="宋体"/>
          <w:b/>
          <w:bCs/>
          <w:color w:val="auto"/>
          <w:sz w:val="24"/>
        </w:rPr>
        <w:t>二、合同价格：</w:t>
      </w:r>
    </w:p>
    <w:p w14:paraId="503162A9">
      <w:pPr>
        <w:keepNext w:val="0"/>
        <w:keepLines w:val="0"/>
        <w:pageBreakBefore w:val="0"/>
        <w:widowControl w:val="0"/>
        <w:kinsoku/>
        <w:wordWrap/>
        <w:overflowPunct/>
        <w:topLinePunct w:val="0"/>
        <w:autoSpaceDE/>
        <w:autoSpaceDN/>
        <w:bidi w:val="0"/>
        <w:spacing w:line="420" w:lineRule="exact"/>
        <w:ind w:firstLine="480" w:firstLineChars="200"/>
        <w:textAlignment w:val="auto"/>
        <w:rPr>
          <w:rFonts w:hint="eastAsia" w:ascii="宋体" w:hAnsi="宋体"/>
          <w:color w:val="auto"/>
          <w:sz w:val="24"/>
          <w:highlight w:val="yellow"/>
        </w:rPr>
      </w:pPr>
      <w:r>
        <w:rPr>
          <w:rFonts w:hint="eastAsia" w:ascii="宋体" w:hAnsi="宋体"/>
          <w:color w:val="auto"/>
          <w:sz w:val="24"/>
          <w:highlight w:val="yellow"/>
        </w:rPr>
        <w:t>1.本项目合同总价为人民币（大写）         元整（￥     .00元），包含所有材料费、人工费、机械使用费、运输费用、</w:t>
      </w:r>
      <w:r>
        <w:rPr>
          <w:rFonts w:hint="eastAsia" w:ascii="宋体" w:hAnsi="宋体"/>
          <w:color w:val="auto"/>
          <w:sz w:val="24"/>
          <w:highlight w:val="yellow"/>
          <w:lang w:val="en-US" w:eastAsia="zh-CN"/>
        </w:rPr>
        <w:t>安装费、</w:t>
      </w:r>
      <w:r>
        <w:rPr>
          <w:rFonts w:hint="eastAsia" w:ascii="宋体" w:hAnsi="宋体"/>
          <w:color w:val="auto"/>
          <w:sz w:val="24"/>
          <w:highlight w:val="yellow"/>
        </w:rPr>
        <w:t>税费等。</w:t>
      </w:r>
    </w:p>
    <w:p w14:paraId="2DE4B80B">
      <w:pPr>
        <w:keepNext w:val="0"/>
        <w:keepLines w:val="0"/>
        <w:pageBreakBefore w:val="0"/>
        <w:widowControl w:val="0"/>
        <w:kinsoku/>
        <w:wordWrap/>
        <w:overflowPunct/>
        <w:topLinePunct w:val="0"/>
        <w:autoSpaceDE/>
        <w:autoSpaceDN/>
        <w:bidi w:val="0"/>
        <w:spacing w:line="420" w:lineRule="exact"/>
        <w:ind w:firstLine="480" w:firstLineChars="200"/>
        <w:textAlignment w:val="auto"/>
        <w:rPr>
          <w:rFonts w:hint="eastAsia" w:ascii="宋体" w:hAnsi="宋体"/>
          <w:color w:val="auto"/>
          <w:sz w:val="24"/>
        </w:rPr>
      </w:pPr>
      <w:r>
        <w:rPr>
          <w:rFonts w:hint="eastAsia" w:ascii="宋体" w:hAnsi="宋体"/>
          <w:color w:val="auto"/>
          <w:sz w:val="24"/>
        </w:rPr>
        <w:t>2.上述总价已包括了所有预见和不可预见的费用，除因设计变更、法律法规调整或双方书面协议或因甲方原因导致的额外费用外，总价不作调整。</w:t>
      </w:r>
    </w:p>
    <w:p w14:paraId="127E759E">
      <w:pPr>
        <w:keepNext w:val="0"/>
        <w:keepLines w:val="0"/>
        <w:pageBreakBefore w:val="0"/>
        <w:widowControl w:val="0"/>
        <w:kinsoku/>
        <w:wordWrap/>
        <w:overflowPunct/>
        <w:topLinePunct w:val="0"/>
        <w:autoSpaceDE/>
        <w:autoSpaceDN/>
        <w:bidi w:val="0"/>
        <w:spacing w:line="420" w:lineRule="exact"/>
        <w:ind w:firstLine="480" w:firstLineChars="200"/>
        <w:textAlignment w:val="auto"/>
        <w:rPr>
          <w:rFonts w:hint="eastAsia" w:ascii="宋体" w:hAnsi="宋体"/>
          <w:color w:val="auto"/>
          <w:sz w:val="24"/>
        </w:rPr>
      </w:pPr>
      <w:r>
        <w:rPr>
          <w:rFonts w:hint="eastAsia" w:ascii="宋体" w:hAnsi="宋体"/>
          <w:color w:val="auto"/>
          <w:sz w:val="24"/>
        </w:rPr>
        <w:t>3.乙方应在运输、安装、调试过程中为设备投保相关财产保险，保险范围包括运输损失、安装及调试期间的意外损坏。因乙方未投保或保险不足导致甲方损失的，乙方应承担全部赔偿责任。 乙方不得以任何理由要求增加费用，甲方无义务承担除上述约定外的任何额外费用。</w:t>
      </w:r>
    </w:p>
    <w:p w14:paraId="78028592">
      <w:pPr>
        <w:keepNext w:val="0"/>
        <w:keepLines w:val="0"/>
        <w:pageBreakBefore w:val="0"/>
        <w:widowControl w:val="0"/>
        <w:kinsoku/>
        <w:wordWrap/>
        <w:overflowPunct/>
        <w:topLinePunct w:val="0"/>
        <w:autoSpaceDE/>
        <w:autoSpaceDN/>
        <w:bidi w:val="0"/>
        <w:spacing w:line="420" w:lineRule="exact"/>
        <w:textAlignment w:val="auto"/>
        <w:rPr>
          <w:rFonts w:hint="eastAsia" w:ascii="宋体" w:hAnsi="宋体"/>
          <w:b/>
          <w:bCs/>
          <w:color w:val="auto"/>
          <w:sz w:val="24"/>
        </w:rPr>
      </w:pPr>
      <w:r>
        <w:rPr>
          <w:rFonts w:hint="eastAsia" w:ascii="宋体" w:hAnsi="宋体"/>
          <w:b/>
          <w:bCs/>
          <w:color w:val="auto"/>
          <w:sz w:val="24"/>
        </w:rPr>
        <w:t>三、服务内容</w:t>
      </w:r>
    </w:p>
    <w:tbl>
      <w:tblPr>
        <w:tblStyle w:val="10"/>
        <w:tblpPr w:leftFromText="180" w:rightFromText="180" w:vertAnchor="text" w:horzAnchor="page" w:tblpX="1800" w:tblpY="90"/>
        <w:tblOverlap w:val="never"/>
        <w:tblW w:w="5323"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7"/>
        <w:gridCol w:w="1104"/>
        <w:gridCol w:w="1212"/>
        <w:gridCol w:w="1212"/>
        <w:gridCol w:w="1212"/>
        <w:gridCol w:w="1212"/>
        <w:gridCol w:w="1212"/>
        <w:gridCol w:w="1212"/>
      </w:tblGrid>
      <w:tr w14:paraId="7A817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trPr>
        <w:tc>
          <w:tcPr>
            <w:tcW w:w="384" w:type="pct"/>
            <w:vAlign w:val="center"/>
          </w:tcPr>
          <w:p w14:paraId="6DF3EFA0">
            <w:pPr>
              <w:keepNext w:val="0"/>
              <w:keepLines w:val="0"/>
              <w:pageBreakBefore w:val="0"/>
              <w:widowControl w:val="0"/>
              <w:kinsoku/>
              <w:wordWrap w:val="0"/>
              <w:overflowPunct/>
              <w:topLinePunct/>
              <w:autoSpaceDE/>
              <w:autoSpaceDN/>
              <w:bidi w:val="0"/>
              <w:adjustRightInd w:val="0"/>
              <w:snapToGrid w:val="0"/>
              <w:spacing w:line="240" w:lineRule="exact"/>
              <w:jc w:val="center"/>
              <w:textAlignment w:val="auto"/>
              <w:rPr>
                <w:rFonts w:hint="eastAsia" w:ascii="宋体" w:hAnsi="宋体" w:eastAsia="宋体" w:cs="宋体"/>
                <w:b/>
                <w:sz w:val="18"/>
                <w:szCs w:val="18"/>
                <w:highlight w:val="none"/>
              </w:rPr>
            </w:pPr>
            <w:bookmarkStart w:id="1" w:name="_GoBack"/>
            <w:r>
              <w:rPr>
                <w:rFonts w:hint="eastAsia" w:ascii="宋体" w:hAnsi="宋体" w:eastAsia="宋体" w:cs="宋体"/>
                <w:sz w:val="18"/>
                <w:szCs w:val="18"/>
                <w:highlight w:val="none"/>
              </w:rPr>
              <w:t>序号</w:t>
            </w:r>
          </w:p>
        </w:tc>
        <w:tc>
          <w:tcPr>
            <w:tcW w:w="608" w:type="pct"/>
            <w:vAlign w:val="center"/>
          </w:tcPr>
          <w:p w14:paraId="701B57E8">
            <w:pPr>
              <w:keepNext w:val="0"/>
              <w:keepLines w:val="0"/>
              <w:pageBreakBefore w:val="0"/>
              <w:widowControl w:val="0"/>
              <w:kinsoku/>
              <w:wordWrap w:val="0"/>
              <w:overflowPunct/>
              <w:topLinePunct/>
              <w:autoSpaceDE/>
              <w:autoSpaceDN/>
              <w:bidi w:val="0"/>
              <w:adjustRightInd w:val="0"/>
              <w:snapToGrid w:val="0"/>
              <w:spacing w:line="240" w:lineRule="exact"/>
              <w:jc w:val="center"/>
              <w:textAlignment w:val="auto"/>
              <w:rPr>
                <w:rFonts w:hint="eastAsia" w:ascii="宋体" w:hAnsi="宋体" w:eastAsia="宋体" w:cs="宋体"/>
                <w:b/>
                <w:sz w:val="18"/>
                <w:szCs w:val="18"/>
                <w:highlight w:val="none"/>
              </w:rPr>
            </w:pPr>
            <w:r>
              <w:rPr>
                <w:rFonts w:hint="eastAsia" w:ascii="宋体" w:hAnsi="宋体" w:eastAsia="宋体" w:cs="宋体"/>
                <w:sz w:val="18"/>
                <w:szCs w:val="18"/>
                <w:highlight w:val="none"/>
              </w:rPr>
              <w:t>名称</w:t>
            </w:r>
          </w:p>
        </w:tc>
        <w:tc>
          <w:tcPr>
            <w:tcW w:w="667" w:type="pct"/>
            <w:vAlign w:val="center"/>
          </w:tcPr>
          <w:p w14:paraId="10F394F0">
            <w:pPr>
              <w:keepNext w:val="0"/>
              <w:keepLines w:val="0"/>
              <w:pageBreakBefore w:val="0"/>
              <w:widowControl w:val="0"/>
              <w:kinsoku/>
              <w:wordWrap w:val="0"/>
              <w:overflowPunct/>
              <w:topLinePunct/>
              <w:autoSpaceDE/>
              <w:autoSpaceDN/>
              <w:bidi w:val="0"/>
              <w:adjustRightInd w:val="0"/>
              <w:snapToGrid w:val="0"/>
              <w:spacing w:line="240" w:lineRule="exact"/>
              <w:jc w:val="center"/>
              <w:textAlignment w:val="auto"/>
              <w:rPr>
                <w:rFonts w:hint="eastAsia" w:ascii="宋体" w:hAnsi="宋体" w:eastAsia="宋体" w:cs="宋体"/>
                <w:sz w:val="18"/>
                <w:szCs w:val="18"/>
                <w:highlight w:val="none"/>
                <w:lang w:val="en-US" w:eastAsia="zh-CN"/>
              </w:rPr>
            </w:pPr>
            <w:r>
              <w:rPr>
                <w:rFonts w:hint="eastAsia" w:ascii="宋体" w:hAnsi="宋体" w:cs="宋体"/>
                <w:sz w:val="18"/>
                <w:szCs w:val="18"/>
                <w:highlight w:val="none"/>
                <w:lang w:val="en-US" w:eastAsia="zh-CN"/>
              </w:rPr>
              <w:t>品牌</w:t>
            </w:r>
          </w:p>
        </w:tc>
        <w:tc>
          <w:tcPr>
            <w:tcW w:w="667" w:type="pct"/>
            <w:vAlign w:val="center"/>
          </w:tcPr>
          <w:p w14:paraId="6F70C0BD">
            <w:pPr>
              <w:keepNext w:val="0"/>
              <w:keepLines w:val="0"/>
              <w:pageBreakBefore w:val="0"/>
              <w:widowControl w:val="0"/>
              <w:kinsoku/>
              <w:wordWrap w:val="0"/>
              <w:overflowPunct/>
              <w:topLinePunct/>
              <w:autoSpaceDE/>
              <w:autoSpaceDN/>
              <w:bidi w:val="0"/>
              <w:adjustRightInd w:val="0"/>
              <w:snapToGrid w:val="0"/>
              <w:spacing w:line="240" w:lineRule="exact"/>
              <w:jc w:val="center"/>
              <w:textAlignment w:val="auto"/>
              <w:rPr>
                <w:rFonts w:hint="eastAsia" w:ascii="宋体" w:hAnsi="宋体" w:eastAsia="宋体" w:cs="宋体"/>
                <w:b/>
                <w:sz w:val="18"/>
                <w:szCs w:val="18"/>
                <w:highlight w:val="none"/>
              </w:rPr>
            </w:pPr>
            <w:r>
              <w:rPr>
                <w:rFonts w:hint="eastAsia" w:ascii="宋体" w:hAnsi="宋体" w:eastAsia="宋体" w:cs="宋体"/>
                <w:sz w:val="18"/>
                <w:szCs w:val="18"/>
                <w:highlight w:val="none"/>
              </w:rPr>
              <w:t>技术参数和规格型号</w:t>
            </w:r>
          </w:p>
        </w:tc>
        <w:tc>
          <w:tcPr>
            <w:tcW w:w="667" w:type="pct"/>
            <w:vAlign w:val="center"/>
          </w:tcPr>
          <w:p w14:paraId="21B2E85F">
            <w:pPr>
              <w:keepNext w:val="0"/>
              <w:keepLines w:val="0"/>
              <w:pageBreakBefore w:val="0"/>
              <w:widowControl w:val="0"/>
              <w:kinsoku/>
              <w:wordWrap w:val="0"/>
              <w:overflowPunct/>
              <w:topLinePunct/>
              <w:autoSpaceDE/>
              <w:autoSpaceDN/>
              <w:bidi w:val="0"/>
              <w:adjustRightInd w:val="0"/>
              <w:snapToGrid w:val="0"/>
              <w:spacing w:line="240" w:lineRule="exact"/>
              <w:jc w:val="center"/>
              <w:textAlignment w:val="auto"/>
              <w:rPr>
                <w:rFonts w:hint="eastAsia" w:ascii="宋体" w:hAnsi="宋体" w:eastAsia="宋体" w:cs="宋体"/>
                <w:b/>
                <w:sz w:val="18"/>
                <w:szCs w:val="18"/>
                <w:highlight w:val="none"/>
              </w:rPr>
            </w:pPr>
            <w:r>
              <w:rPr>
                <w:rFonts w:hint="eastAsia" w:ascii="宋体" w:hAnsi="宋体" w:eastAsia="宋体" w:cs="宋体"/>
                <w:sz w:val="18"/>
                <w:szCs w:val="18"/>
                <w:highlight w:val="none"/>
              </w:rPr>
              <w:t>数量</w:t>
            </w:r>
          </w:p>
        </w:tc>
        <w:tc>
          <w:tcPr>
            <w:tcW w:w="667" w:type="pct"/>
            <w:vAlign w:val="center"/>
          </w:tcPr>
          <w:p w14:paraId="5AF27D93">
            <w:pPr>
              <w:keepNext w:val="0"/>
              <w:keepLines w:val="0"/>
              <w:pageBreakBefore w:val="0"/>
              <w:widowControl w:val="0"/>
              <w:kinsoku/>
              <w:wordWrap w:val="0"/>
              <w:overflowPunct/>
              <w:topLinePunct/>
              <w:autoSpaceDE/>
              <w:autoSpaceDN/>
              <w:bidi w:val="0"/>
              <w:adjustRightInd w:val="0"/>
              <w:snapToGrid w:val="0"/>
              <w:spacing w:line="240" w:lineRule="exact"/>
              <w:jc w:val="center"/>
              <w:textAlignment w:val="auto"/>
              <w:rPr>
                <w:rFonts w:hint="eastAsia" w:ascii="宋体" w:hAnsi="宋体" w:eastAsia="宋体" w:cs="宋体"/>
                <w:b/>
                <w:sz w:val="18"/>
                <w:szCs w:val="18"/>
                <w:highlight w:val="none"/>
              </w:rPr>
            </w:pPr>
            <w:r>
              <w:rPr>
                <w:rFonts w:hint="eastAsia" w:ascii="宋体" w:hAnsi="宋体" w:eastAsia="宋体" w:cs="宋体"/>
                <w:sz w:val="18"/>
                <w:szCs w:val="18"/>
                <w:highlight w:val="none"/>
              </w:rPr>
              <w:t>单位</w:t>
            </w:r>
          </w:p>
        </w:tc>
        <w:tc>
          <w:tcPr>
            <w:tcW w:w="667" w:type="pct"/>
            <w:vAlign w:val="center"/>
          </w:tcPr>
          <w:p w14:paraId="20B490CF">
            <w:pPr>
              <w:keepNext w:val="0"/>
              <w:keepLines w:val="0"/>
              <w:pageBreakBefore w:val="0"/>
              <w:widowControl w:val="0"/>
              <w:kinsoku/>
              <w:wordWrap w:val="0"/>
              <w:overflowPunct/>
              <w:topLinePunct/>
              <w:autoSpaceDE/>
              <w:autoSpaceDN/>
              <w:bidi w:val="0"/>
              <w:adjustRightInd w:val="0"/>
              <w:snapToGrid w:val="0"/>
              <w:spacing w:line="240" w:lineRule="exact"/>
              <w:jc w:val="center"/>
              <w:textAlignment w:val="auto"/>
              <w:rPr>
                <w:rFonts w:hint="eastAsia" w:ascii="宋体" w:hAnsi="宋体" w:eastAsia="宋体" w:cs="宋体"/>
                <w:sz w:val="18"/>
                <w:szCs w:val="18"/>
                <w:highlight w:val="none"/>
                <w:lang w:val="en-US" w:eastAsia="zh-CN"/>
              </w:rPr>
            </w:pPr>
            <w:r>
              <w:rPr>
                <w:rFonts w:hint="eastAsia" w:ascii="宋体" w:hAnsi="宋体" w:eastAsia="宋体" w:cs="宋体"/>
                <w:sz w:val="18"/>
                <w:szCs w:val="18"/>
                <w:highlight w:val="none"/>
                <w:lang w:val="en-US" w:eastAsia="zh-CN"/>
              </w:rPr>
              <w:t>单价</w:t>
            </w:r>
          </w:p>
        </w:tc>
        <w:tc>
          <w:tcPr>
            <w:tcW w:w="667" w:type="pct"/>
            <w:vAlign w:val="center"/>
          </w:tcPr>
          <w:p w14:paraId="0765E2BC">
            <w:pPr>
              <w:keepNext w:val="0"/>
              <w:keepLines w:val="0"/>
              <w:pageBreakBefore w:val="0"/>
              <w:widowControl w:val="0"/>
              <w:kinsoku/>
              <w:wordWrap w:val="0"/>
              <w:overflowPunct/>
              <w:topLinePunct/>
              <w:autoSpaceDE/>
              <w:autoSpaceDN/>
              <w:bidi w:val="0"/>
              <w:adjustRightInd w:val="0"/>
              <w:snapToGrid w:val="0"/>
              <w:spacing w:line="240" w:lineRule="exact"/>
              <w:jc w:val="center"/>
              <w:textAlignment w:val="auto"/>
              <w:rPr>
                <w:rFonts w:hint="eastAsia" w:ascii="宋体" w:hAnsi="宋体" w:eastAsia="宋体" w:cs="宋体"/>
                <w:sz w:val="18"/>
                <w:szCs w:val="18"/>
                <w:highlight w:val="none"/>
                <w:lang w:val="en-US" w:eastAsia="zh-CN"/>
              </w:rPr>
            </w:pPr>
            <w:r>
              <w:rPr>
                <w:rFonts w:hint="eastAsia" w:ascii="宋体" w:hAnsi="宋体" w:eastAsia="宋体" w:cs="宋体"/>
                <w:sz w:val="18"/>
                <w:szCs w:val="18"/>
                <w:highlight w:val="none"/>
                <w:lang w:val="en-US" w:eastAsia="zh-CN"/>
              </w:rPr>
              <w:t>合计</w:t>
            </w:r>
          </w:p>
        </w:tc>
      </w:tr>
      <w:tr w14:paraId="08C065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384" w:type="pct"/>
            <w:shd w:val="clear" w:color="auto" w:fill="auto"/>
            <w:vAlign w:val="center"/>
          </w:tcPr>
          <w:p w14:paraId="29B9BFB0">
            <w:pPr>
              <w:wordWrap w:val="0"/>
              <w:topLinePunct/>
              <w:adjustRightInd w:val="0"/>
              <w:snapToGrid w:val="0"/>
              <w:spacing w:line="360" w:lineRule="auto"/>
              <w:jc w:val="center"/>
              <w:rPr>
                <w:rFonts w:hint="eastAsia" w:ascii="宋体" w:hAnsi="宋体" w:eastAsia="宋体" w:cs="宋体"/>
                <w:kern w:val="2"/>
                <w:sz w:val="18"/>
                <w:szCs w:val="18"/>
                <w:highlight w:val="none"/>
                <w:lang w:val="en-US" w:eastAsia="zh-CN" w:bidi="ar-SA"/>
              </w:rPr>
            </w:pPr>
            <w:r>
              <w:rPr>
                <w:rFonts w:hint="eastAsia" w:ascii="宋体" w:hAnsi="宋体" w:eastAsia="宋体" w:cs="宋体"/>
                <w:sz w:val="18"/>
                <w:szCs w:val="18"/>
                <w:highlight w:val="none"/>
                <w:lang w:val="en-US" w:eastAsia="zh-CN"/>
              </w:rPr>
              <w:t>1</w:t>
            </w:r>
          </w:p>
        </w:tc>
        <w:tc>
          <w:tcPr>
            <w:tcW w:w="608" w:type="pct"/>
            <w:shd w:val="clear" w:color="auto" w:fill="auto"/>
            <w:vAlign w:val="center"/>
          </w:tcPr>
          <w:p w14:paraId="208D40A9">
            <w:pPr>
              <w:jc w:val="center"/>
              <w:rPr>
                <w:rFonts w:hint="eastAsia" w:ascii="宋体" w:hAnsi="宋体" w:eastAsia="宋体" w:cs="宋体"/>
                <w:kern w:val="2"/>
                <w:sz w:val="18"/>
                <w:szCs w:val="18"/>
                <w:highlight w:val="none"/>
                <w:lang w:val="en-US" w:eastAsia="zh-CN" w:bidi="ar-SA"/>
              </w:rPr>
            </w:pPr>
            <w:r>
              <w:rPr>
                <w:rFonts w:hint="eastAsia" w:ascii="宋体" w:hAnsi="宋体" w:eastAsia="宋体" w:cs="宋体"/>
                <w:szCs w:val="21"/>
                <w:highlight w:val="none"/>
              </w:rPr>
              <w:t>会议椅</w:t>
            </w:r>
          </w:p>
        </w:tc>
        <w:tc>
          <w:tcPr>
            <w:tcW w:w="667" w:type="pct"/>
            <w:shd w:val="clear" w:color="auto" w:fill="auto"/>
            <w:vAlign w:val="center"/>
          </w:tcPr>
          <w:p w14:paraId="71788D39">
            <w:pPr>
              <w:jc w:val="center"/>
              <w:rPr>
                <w:rFonts w:hint="eastAsia" w:ascii="宋体" w:hAnsi="宋体" w:eastAsia="宋体" w:cs="宋体"/>
                <w:szCs w:val="21"/>
                <w:highlight w:val="none"/>
              </w:rPr>
            </w:pPr>
          </w:p>
        </w:tc>
        <w:tc>
          <w:tcPr>
            <w:tcW w:w="667" w:type="pct"/>
            <w:shd w:val="clear" w:color="auto" w:fill="auto"/>
            <w:vAlign w:val="center"/>
          </w:tcPr>
          <w:p w14:paraId="0CCA42DE">
            <w:pPr>
              <w:wordWrap w:val="0"/>
              <w:topLinePunct/>
              <w:adjustRightInd w:val="0"/>
              <w:snapToGrid w:val="0"/>
              <w:rPr>
                <w:rFonts w:hint="eastAsia" w:ascii="宋体" w:hAnsi="宋体" w:eastAsia="宋体" w:cs="宋体"/>
                <w:kern w:val="2"/>
                <w:sz w:val="18"/>
                <w:szCs w:val="18"/>
                <w:highlight w:val="none"/>
                <w:lang w:val="en-US" w:eastAsia="zh-CN" w:bidi="ar-SA"/>
              </w:rPr>
            </w:pPr>
          </w:p>
        </w:tc>
        <w:tc>
          <w:tcPr>
            <w:tcW w:w="667" w:type="pct"/>
            <w:shd w:val="clear" w:color="auto" w:fill="auto"/>
            <w:vAlign w:val="center"/>
          </w:tcPr>
          <w:p w14:paraId="4392E580">
            <w:pPr>
              <w:wordWrap w:val="0"/>
              <w:topLinePunct/>
              <w:adjustRightInd w:val="0"/>
              <w:snapToGrid w:val="0"/>
              <w:jc w:val="center"/>
              <w:rPr>
                <w:rFonts w:hint="eastAsia" w:ascii="宋体" w:hAnsi="宋体" w:eastAsia="宋体" w:cs="宋体"/>
                <w:kern w:val="2"/>
                <w:sz w:val="18"/>
                <w:szCs w:val="18"/>
                <w:highlight w:val="none"/>
                <w:lang w:val="en-US" w:eastAsia="zh-CN" w:bidi="ar-SA"/>
              </w:rPr>
            </w:pPr>
            <w:r>
              <w:rPr>
                <w:rFonts w:hint="eastAsia" w:ascii="宋体" w:hAnsi="宋体" w:eastAsia="宋体" w:cs="宋体"/>
                <w:sz w:val="18"/>
                <w:szCs w:val="18"/>
                <w:highlight w:val="none"/>
                <w:lang w:val="en-US" w:eastAsia="zh-CN"/>
              </w:rPr>
              <w:t>238</w:t>
            </w:r>
          </w:p>
        </w:tc>
        <w:tc>
          <w:tcPr>
            <w:tcW w:w="667" w:type="pct"/>
            <w:shd w:val="clear" w:color="auto" w:fill="auto"/>
            <w:vAlign w:val="center"/>
          </w:tcPr>
          <w:p w14:paraId="304BD9F3">
            <w:pPr>
              <w:wordWrap w:val="0"/>
              <w:topLinePunct/>
              <w:adjustRightInd w:val="0"/>
              <w:snapToGrid w:val="0"/>
              <w:jc w:val="center"/>
              <w:rPr>
                <w:rFonts w:hint="eastAsia" w:ascii="宋体" w:hAnsi="宋体" w:eastAsia="宋体" w:cs="宋体"/>
                <w:kern w:val="2"/>
                <w:sz w:val="18"/>
                <w:szCs w:val="18"/>
                <w:highlight w:val="none"/>
                <w:lang w:val="en-US" w:eastAsia="zh-CN" w:bidi="ar-SA"/>
              </w:rPr>
            </w:pPr>
            <w:r>
              <w:rPr>
                <w:rFonts w:hint="eastAsia" w:ascii="宋体" w:hAnsi="宋体" w:eastAsia="宋体" w:cs="宋体"/>
                <w:kern w:val="2"/>
                <w:sz w:val="18"/>
                <w:szCs w:val="18"/>
                <w:highlight w:val="none"/>
                <w:lang w:val="en-US" w:eastAsia="zh-CN" w:bidi="ar-SA"/>
              </w:rPr>
              <w:t>把</w:t>
            </w:r>
          </w:p>
        </w:tc>
        <w:tc>
          <w:tcPr>
            <w:tcW w:w="667" w:type="pct"/>
            <w:shd w:val="clear" w:color="auto" w:fill="auto"/>
            <w:vAlign w:val="center"/>
          </w:tcPr>
          <w:p w14:paraId="0D3D4B09">
            <w:pPr>
              <w:wordWrap w:val="0"/>
              <w:topLinePunct/>
              <w:adjustRightInd w:val="0"/>
              <w:snapToGrid w:val="0"/>
              <w:jc w:val="center"/>
              <w:rPr>
                <w:rFonts w:hint="eastAsia" w:ascii="宋体" w:hAnsi="宋体" w:eastAsia="宋体" w:cs="宋体"/>
                <w:kern w:val="2"/>
                <w:sz w:val="18"/>
                <w:szCs w:val="18"/>
                <w:highlight w:val="none"/>
                <w:lang w:val="en-US" w:eastAsia="zh-CN" w:bidi="ar-SA"/>
              </w:rPr>
            </w:pPr>
          </w:p>
        </w:tc>
        <w:tc>
          <w:tcPr>
            <w:tcW w:w="667" w:type="pct"/>
            <w:shd w:val="clear" w:color="auto" w:fill="auto"/>
            <w:vAlign w:val="center"/>
          </w:tcPr>
          <w:p w14:paraId="5EF4AF46">
            <w:pPr>
              <w:wordWrap w:val="0"/>
              <w:topLinePunct/>
              <w:adjustRightInd w:val="0"/>
              <w:snapToGrid w:val="0"/>
              <w:jc w:val="center"/>
              <w:rPr>
                <w:rFonts w:hint="eastAsia" w:ascii="宋体" w:hAnsi="宋体" w:eastAsia="宋体" w:cs="宋体"/>
                <w:kern w:val="2"/>
                <w:sz w:val="18"/>
                <w:szCs w:val="18"/>
                <w:highlight w:val="none"/>
                <w:lang w:val="en-US" w:eastAsia="zh-CN" w:bidi="ar-SA"/>
              </w:rPr>
            </w:pPr>
          </w:p>
        </w:tc>
      </w:tr>
      <w:tr w14:paraId="01537A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384" w:type="pct"/>
            <w:shd w:val="clear" w:color="auto" w:fill="auto"/>
            <w:vAlign w:val="center"/>
          </w:tcPr>
          <w:p w14:paraId="11BE105D">
            <w:pPr>
              <w:wordWrap w:val="0"/>
              <w:topLinePunct/>
              <w:adjustRightInd w:val="0"/>
              <w:snapToGrid w:val="0"/>
              <w:jc w:val="center"/>
              <w:rPr>
                <w:rFonts w:hint="eastAsia" w:ascii="宋体" w:hAnsi="宋体" w:eastAsia="宋体" w:cs="宋体"/>
                <w:kern w:val="2"/>
                <w:sz w:val="18"/>
                <w:szCs w:val="18"/>
                <w:highlight w:val="none"/>
                <w:lang w:val="en-US" w:eastAsia="zh-CN" w:bidi="ar-SA"/>
              </w:rPr>
            </w:pPr>
            <w:r>
              <w:rPr>
                <w:rFonts w:hint="eastAsia" w:ascii="宋体" w:hAnsi="宋体" w:eastAsia="宋体" w:cs="宋体"/>
                <w:sz w:val="18"/>
                <w:szCs w:val="18"/>
                <w:highlight w:val="none"/>
                <w:lang w:val="en-US" w:eastAsia="zh-CN"/>
              </w:rPr>
              <w:t>2</w:t>
            </w:r>
          </w:p>
        </w:tc>
        <w:tc>
          <w:tcPr>
            <w:tcW w:w="608" w:type="pct"/>
            <w:shd w:val="clear" w:color="auto" w:fill="auto"/>
            <w:vAlign w:val="center"/>
          </w:tcPr>
          <w:p w14:paraId="7EEBF90D">
            <w:pPr>
              <w:jc w:val="center"/>
              <w:rPr>
                <w:rFonts w:hint="eastAsia" w:ascii="宋体" w:hAnsi="宋体" w:eastAsia="宋体" w:cs="宋体"/>
                <w:kern w:val="2"/>
                <w:sz w:val="18"/>
                <w:szCs w:val="18"/>
                <w:highlight w:val="none"/>
                <w:lang w:val="en-US" w:eastAsia="zh-CN" w:bidi="ar-SA"/>
              </w:rPr>
            </w:pPr>
            <w:r>
              <w:rPr>
                <w:rFonts w:hint="eastAsia" w:ascii="宋体" w:hAnsi="宋体" w:eastAsia="宋体" w:cs="宋体"/>
                <w:szCs w:val="21"/>
                <w:highlight w:val="none"/>
              </w:rPr>
              <w:t>集体办公桌</w:t>
            </w:r>
          </w:p>
        </w:tc>
        <w:tc>
          <w:tcPr>
            <w:tcW w:w="667" w:type="pct"/>
            <w:shd w:val="clear" w:color="auto" w:fill="auto"/>
            <w:vAlign w:val="center"/>
          </w:tcPr>
          <w:p w14:paraId="01C7D93E">
            <w:pPr>
              <w:jc w:val="center"/>
              <w:rPr>
                <w:rFonts w:hint="eastAsia" w:ascii="宋体" w:hAnsi="宋体" w:eastAsia="宋体" w:cs="宋体"/>
                <w:szCs w:val="21"/>
                <w:highlight w:val="none"/>
              </w:rPr>
            </w:pPr>
          </w:p>
        </w:tc>
        <w:tc>
          <w:tcPr>
            <w:tcW w:w="667" w:type="pct"/>
            <w:shd w:val="clear" w:color="auto" w:fill="auto"/>
            <w:vAlign w:val="center"/>
          </w:tcPr>
          <w:p w14:paraId="0EF1F12C">
            <w:pPr>
              <w:numPr>
                <w:ilvl w:val="0"/>
                <w:numId w:val="0"/>
              </w:numPr>
              <w:wordWrap w:val="0"/>
              <w:topLinePunct/>
              <w:adjustRightInd w:val="0"/>
              <w:snapToGrid w:val="0"/>
              <w:rPr>
                <w:rFonts w:hint="eastAsia" w:ascii="宋体" w:hAnsi="宋体" w:eastAsia="宋体" w:cs="宋体"/>
                <w:kern w:val="2"/>
                <w:sz w:val="18"/>
                <w:szCs w:val="18"/>
                <w:highlight w:val="none"/>
                <w:lang w:val="en-US" w:eastAsia="zh-CN" w:bidi="ar-SA"/>
              </w:rPr>
            </w:pPr>
          </w:p>
        </w:tc>
        <w:tc>
          <w:tcPr>
            <w:tcW w:w="667" w:type="pct"/>
            <w:shd w:val="clear" w:color="auto" w:fill="auto"/>
            <w:vAlign w:val="center"/>
          </w:tcPr>
          <w:p w14:paraId="0841EEE4">
            <w:pPr>
              <w:wordWrap w:val="0"/>
              <w:topLinePunct/>
              <w:adjustRightInd w:val="0"/>
              <w:snapToGrid w:val="0"/>
              <w:jc w:val="center"/>
              <w:rPr>
                <w:rFonts w:hint="eastAsia" w:ascii="宋体" w:hAnsi="宋体" w:eastAsia="宋体" w:cs="宋体"/>
                <w:kern w:val="2"/>
                <w:sz w:val="18"/>
                <w:szCs w:val="18"/>
                <w:highlight w:val="none"/>
                <w:lang w:val="en-US" w:eastAsia="zh-CN" w:bidi="ar-SA"/>
              </w:rPr>
            </w:pPr>
            <w:r>
              <w:rPr>
                <w:rFonts w:hint="eastAsia" w:ascii="宋体" w:hAnsi="宋体" w:eastAsia="宋体" w:cs="宋体"/>
                <w:sz w:val="18"/>
                <w:szCs w:val="18"/>
                <w:highlight w:val="none"/>
                <w:lang w:val="en-US" w:eastAsia="zh-CN"/>
              </w:rPr>
              <w:t>70</w:t>
            </w:r>
          </w:p>
        </w:tc>
        <w:tc>
          <w:tcPr>
            <w:tcW w:w="667" w:type="pct"/>
            <w:shd w:val="clear" w:color="auto" w:fill="auto"/>
            <w:vAlign w:val="center"/>
          </w:tcPr>
          <w:p w14:paraId="680FA76E">
            <w:pPr>
              <w:wordWrap w:val="0"/>
              <w:topLinePunct/>
              <w:adjustRightInd w:val="0"/>
              <w:snapToGrid w:val="0"/>
              <w:jc w:val="center"/>
              <w:rPr>
                <w:rFonts w:hint="eastAsia" w:ascii="宋体" w:hAnsi="宋体" w:eastAsia="宋体" w:cs="宋体"/>
                <w:kern w:val="2"/>
                <w:sz w:val="18"/>
                <w:szCs w:val="18"/>
                <w:highlight w:val="none"/>
                <w:lang w:val="en-US" w:eastAsia="zh-CN" w:bidi="ar-SA"/>
              </w:rPr>
            </w:pPr>
            <w:r>
              <w:rPr>
                <w:rFonts w:hint="eastAsia" w:ascii="宋体" w:hAnsi="宋体" w:eastAsia="宋体" w:cs="宋体"/>
                <w:sz w:val="18"/>
                <w:szCs w:val="18"/>
                <w:highlight w:val="none"/>
              </w:rPr>
              <w:t>个</w:t>
            </w:r>
          </w:p>
        </w:tc>
        <w:tc>
          <w:tcPr>
            <w:tcW w:w="667" w:type="pct"/>
            <w:shd w:val="clear" w:color="auto" w:fill="auto"/>
            <w:vAlign w:val="center"/>
          </w:tcPr>
          <w:p w14:paraId="59C74FC3">
            <w:pPr>
              <w:wordWrap w:val="0"/>
              <w:topLinePunct/>
              <w:adjustRightInd w:val="0"/>
              <w:snapToGrid w:val="0"/>
              <w:jc w:val="center"/>
              <w:rPr>
                <w:rFonts w:hint="eastAsia" w:ascii="宋体" w:hAnsi="宋体" w:eastAsia="宋体" w:cs="宋体"/>
                <w:sz w:val="18"/>
                <w:szCs w:val="18"/>
                <w:highlight w:val="none"/>
              </w:rPr>
            </w:pPr>
          </w:p>
        </w:tc>
        <w:tc>
          <w:tcPr>
            <w:tcW w:w="667" w:type="pct"/>
            <w:shd w:val="clear" w:color="auto" w:fill="auto"/>
            <w:vAlign w:val="center"/>
          </w:tcPr>
          <w:p w14:paraId="6E9DACC6">
            <w:pPr>
              <w:wordWrap w:val="0"/>
              <w:topLinePunct/>
              <w:adjustRightInd w:val="0"/>
              <w:snapToGrid w:val="0"/>
              <w:jc w:val="center"/>
              <w:rPr>
                <w:rFonts w:hint="eastAsia" w:ascii="宋体" w:hAnsi="宋体" w:eastAsia="宋体" w:cs="宋体"/>
                <w:sz w:val="18"/>
                <w:szCs w:val="18"/>
                <w:highlight w:val="none"/>
              </w:rPr>
            </w:pPr>
          </w:p>
        </w:tc>
      </w:tr>
      <w:tr w14:paraId="2B632B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trPr>
        <w:tc>
          <w:tcPr>
            <w:tcW w:w="384" w:type="pct"/>
            <w:shd w:val="clear" w:color="auto" w:fill="auto"/>
            <w:vAlign w:val="center"/>
          </w:tcPr>
          <w:p w14:paraId="043EDE7F">
            <w:pPr>
              <w:wordWrap w:val="0"/>
              <w:topLinePunct/>
              <w:adjustRightInd w:val="0"/>
              <w:snapToGrid w:val="0"/>
              <w:jc w:val="center"/>
              <w:rPr>
                <w:rFonts w:hint="eastAsia" w:ascii="宋体" w:hAnsi="宋体" w:eastAsia="宋体" w:cs="宋体"/>
                <w:sz w:val="18"/>
                <w:szCs w:val="18"/>
                <w:highlight w:val="none"/>
                <w:lang w:val="en-US" w:eastAsia="zh-CN"/>
              </w:rPr>
            </w:pPr>
            <w:r>
              <w:rPr>
                <w:rFonts w:hint="eastAsia" w:ascii="宋体" w:hAnsi="宋体" w:eastAsia="宋体" w:cs="宋体"/>
                <w:sz w:val="18"/>
                <w:szCs w:val="18"/>
                <w:highlight w:val="none"/>
                <w:lang w:val="en-US" w:eastAsia="zh-CN"/>
              </w:rPr>
              <w:t>3</w:t>
            </w:r>
          </w:p>
        </w:tc>
        <w:tc>
          <w:tcPr>
            <w:tcW w:w="608" w:type="pct"/>
            <w:shd w:val="clear" w:color="auto" w:fill="auto"/>
            <w:vAlign w:val="center"/>
          </w:tcPr>
          <w:p w14:paraId="3A576897">
            <w:pPr>
              <w:jc w:val="center"/>
              <w:rPr>
                <w:rFonts w:hint="eastAsia" w:ascii="宋体" w:hAnsi="宋体" w:eastAsia="宋体" w:cs="宋体"/>
                <w:sz w:val="18"/>
                <w:szCs w:val="18"/>
                <w:highlight w:val="none"/>
                <w:lang w:val="en-US" w:eastAsia="zh-CN"/>
              </w:rPr>
            </w:pPr>
            <w:r>
              <w:rPr>
                <w:rFonts w:hint="eastAsia" w:ascii="宋体" w:hAnsi="宋体" w:eastAsia="宋体" w:cs="宋体"/>
                <w:szCs w:val="21"/>
                <w:highlight w:val="none"/>
                <w:lang w:val="en-US" w:eastAsia="zh-CN"/>
              </w:rPr>
              <w:t>独立办公桌</w:t>
            </w:r>
          </w:p>
        </w:tc>
        <w:tc>
          <w:tcPr>
            <w:tcW w:w="667" w:type="pct"/>
            <w:shd w:val="clear" w:color="auto" w:fill="auto"/>
            <w:vAlign w:val="center"/>
          </w:tcPr>
          <w:p w14:paraId="22D55F9C">
            <w:pPr>
              <w:jc w:val="center"/>
              <w:rPr>
                <w:rFonts w:hint="eastAsia" w:ascii="宋体" w:hAnsi="宋体" w:eastAsia="宋体" w:cs="宋体"/>
                <w:szCs w:val="21"/>
                <w:highlight w:val="none"/>
                <w:lang w:val="en-US" w:eastAsia="zh-CN"/>
              </w:rPr>
            </w:pPr>
          </w:p>
        </w:tc>
        <w:tc>
          <w:tcPr>
            <w:tcW w:w="667" w:type="pct"/>
            <w:shd w:val="clear" w:color="auto" w:fill="auto"/>
            <w:vAlign w:val="center"/>
          </w:tcPr>
          <w:p w14:paraId="15A988E0">
            <w:pPr>
              <w:numPr>
                <w:ilvl w:val="0"/>
                <w:numId w:val="0"/>
              </w:numPr>
              <w:wordWrap w:val="0"/>
              <w:topLinePunct/>
              <w:adjustRightInd w:val="0"/>
              <w:snapToGrid w:val="0"/>
              <w:rPr>
                <w:rFonts w:hint="eastAsia" w:ascii="宋体" w:hAnsi="宋体" w:eastAsia="宋体" w:cs="宋体"/>
                <w:kern w:val="2"/>
                <w:sz w:val="18"/>
                <w:szCs w:val="18"/>
                <w:highlight w:val="none"/>
                <w:lang w:val="en-US" w:eastAsia="zh-CN" w:bidi="ar-SA"/>
              </w:rPr>
            </w:pPr>
          </w:p>
        </w:tc>
        <w:tc>
          <w:tcPr>
            <w:tcW w:w="667" w:type="pct"/>
            <w:shd w:val="clear" w:color="auto" w:fill="auto"/>
            <w:vAlign w:val="center"/>
          </w:tcPr>
          <w:p w14:paraId="72CECE07">
            <w:pPr>
              <w:wordWrap w:val="0"/>
              <w:topLinePunct/>
              <w:adjustRightInd w:val="0"/>
              <w:snapToGrid w:val="0"/>
              <w:jc w:val="center"/>
              <w:rPr>
                <w:rFonts w:hint="eastAsia" w:ascii="宋体" w:hAnsi="宋体" w:eastAsia="宋体" w:cs="宋体"/>
                <w:sz w:val="18"/>
                <w:szCs w:val="18"/>
                <w:highlight w:val="none"/>
                <w:lang w:val="en-US" w:eastAsia="zh-CN"/>
              </w:rPr>
            </w:pPr>
            <w:r>
              <w:rPr>
                <w:rFonts w:hint="eastAsia" w:ascii="宋体" w:hAnsi="宋体" w:eastAsia="宋体" w:cs="宋体"/>
                <w:sz w:val="18"/>
                <w:szCs w:val="18"/>
                <w:highlight w:val="none"/>
                <w:lang w:val="en-US" w:eastAsia="zh-CN"/>
              </w:rPr>
              <w:t>2</w:t>
            </w:r>
          </w:p>
        </w:tc>
        <w:tc>
          <w:tcPr>
            <w:tcW w:w="667" w:type="pct"/>
            <w:shd w:val="clear" w:color="auto" w:fill="auto"/>
            <w:vAlign w:val="center"/>
          </w:tcPr>
          <w:p w14:paraId="3EEA1158">
            <w:pPr>
              <w:wordWrap w:val="0"/>
              <w:topLinePunct/>
              <w:adjustRightInd w:val="0"/>
              <w:snapToGrid w:val="0"/>
              <w:jc w:val="center"/>
              <w:rPr>
                <w:rFonts w:hint="eastAsia" w:ascii="宋体" w:hAnsi="宋体" w:eastAsia="宋体" w:cs="宋体"/>
                <w:sz w:val="18"/>
                <w:szCs w:val="18"/>
                <w:highlight w:val="none"/>
                <w:lang w:val="en-US" w:eastAsia="zh-CN"/>
              </w:rPr>
            </w:pPr>
            <w:r>
              <w:rPr>
                <w:rFonts w:hint="eastAsia" w:ascii="宋体" w:hAnsi="宋体" w:eastAsia="宋体" w:cs="宋体"/>
                <w:sz w:val="18"/>
                <w:szCs w:val="18"/>
                <w:highlight w:val="none"/>
                <w:lang w:val="en-US" w:eastAsia="zh-CN"/>
              </w:rPr>
              <w:t>张</w:t>
            </w:r>
          </w:p>
        </w:tc>
        <w:tc>
          <w:tcPr>
            <w:tcW w:w="667" w:type="pct"/>
            <w:shd w:val="clear" w:color="auto" w:fill="auto"/>
            <w:vAlign w:val="center"/>
          </w:tcPr>
          <w:p w14:paraId="0994EED1">
            <w:pPr>
              <w:wordWrap w:val="0"/>
              <w:topLinePunct/>
              <w:adjustRightInd w:val="0"/>
              <w:snapToGrid w:val="0"/>
              <w:jc w:val="center"/>
              <w:rPr>
                <w:rFonts w:hint="eastAsia" w:ascii="宋体" w:hAnsi="宋体" w:eastAsia="宋体" w:cs="宋体"/>
                <w:sz w:val="18"/>
                <w:szCs w:val="18"/>
                <w:highlight w:val="none"/>
              </w:rPr>
            </w:pPr>
          </w:p>
        </w:tc>
        <w:tc>
          <w:tcPr>
            <w:tcW w:w="667" w:type="pct"/>
            <w:shd w:val="clear" w:color="auto" w:fill="auto"/>
            <w:vAlign w:val="center"/>
          </w:tcPr>
          <w:p w14:paraId="5E9C9D9E">
            <w:pPr>
              <w:wordWrap w:val="0"/>
              <w:topLinePunct/>
              <w:adjustRightInd w:val="0"/>
              <w:snapToGrid w:val="0"/>
              <w:jc w:val="center"/>
              <w:rPr>
                <w:rFonts w:hint="eastAsia" w:ascii="宋体" w:hAnsi="宋体" w:eastAsia="宋体" w:cs="宋体"/>
                <w:sz w:val="18"/>
                <w:szCs w:val="18"/>
                <w:highlight w:val="none"/>
              </w:rPr>
            </w:pPr>
          </w:p>
        </w:tc>
      </w:tr>
      <w:tr w14:paraId="50949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trPr>
        <w:tc>
          <w:tcPr>
            <w:tcW w:w="384" w:type="pct"/>
            <w:shd w:val="clear" w:color="auto" w:fill="auto"/>
            <w:vAlign w:val="center"/>
          </w:tcPr>
          <w:p w14:paraId="7E63D2F9">
            <w:pPr>
              <w:wordWrap w:val="0"/>
              <w:topLinePunct/>
              <w:adjustRightInd w:val="0"/>
              <w:snapToGrid w:val="0"/>
              <w:jc w:val="center"/>
              <w:rPr>
                <w:rFonts w:hint="eastAsia" w:ascii="宋体" w:hAnsi="宋体" w:eastAsia="宋体" w:cs="宋体"/>
                <w:sz w:val="18"/>
                <w:szCs w:val="18"/>
                <w:highlight w:val="none"/>
                <w:lang w:val="en-US" w:eastAsia="zh-CN"/>
              </w:rPr>
            </w:pPr>
            <w:r>
              <w:rPr>
                <w:rFonts w:hint="eastAsia" w:ascii="宋体" w:hAnsi="宋体" w:eastAsia="宋体" w:cs="宋体"/>
                <w:sz w:val="18"/>
                <w:szCs w:val="18"/>
                <w:highlight w:val="none"/>
                <w:lang w:val="en-US" w:eastAsia="zh-CN"/>
              </w:rPr>
              <w:t>4</w:t>
            </w:r>
          </w:p>
        </w:tc>
        <w:tc>
          <w:tcPr>
            <w:tcW w:w="608" w:type="pct"/>
            <w:shd w:val="clear" w:color="auto" w:fill="auto"/>
            <w:vAlign w:val="center"/>
          </w:tcPr>
          <w:p w14:paraId="3098421D">
            <w:pPr>
              <w:jc w:val="center"/>
              <w:rPr>
                <w:rFonts w:hint="eastAsia" w:ascii="宋体" w:hAnsi="宋体" w:eastAsia="宋体" w:cs="宋体"/>
                <w:sz w:val="18"/>
                <w:szCs w:val="18"/>
                <w:highlight w:val="none"/>
                <w:lang w:val="en-US" w:eastAsia="zh-CN"/>
              </w:rPr>
            </w:pPr>
            <w:r>
              <w:rPr>
                <w:rFonts w:hint="eastAsia" w:ascii="宋体" w:hAnsi="宋体" w:eastAsia="宋体" w:cs="宋体"/>
                <w:szCs w:val="21"/>
                <w:highlight w:val="none"/>
                <w:lang w:val="en-US" w:eastAsia="zh-CN"/>
              </w:rPr>
              <w:t>会议桌</w:t>
            </w:r>
          </w:p>
        </w:tc>
        <w:tc>
          <w:tcPr>
            <w:tcW w:w="667" w:type="pct"/>
            <w:shd w:val="clear" w:color="auto" w:fill="auto"/>
            <w:vAlign w:val="center"/>
          </w:tcPr>
          <w:p w14:paraId="5F82D3B1">
            <w:pPr>
              <w:jc w:val="center"/>
              <w:rPr>
                <w:rFonts w:hint="eastAsia" w:ascii="宋体" w:hAnsi="宋体" w:eastAsia="宋体" w:cs="宋体"/>
                <w:szCs w:val="21"/>
                <w:highlight w:val="none"/>
                <w:lang w:val="en-US" w:eastAsia="zh-CN"/>
              </w:rPr>
            </w:pPr>
          </w:p>
        </w:tc>
        <w:tc>
          <w:tcPr>
            <w:tcW w:w="667" w:type="pct"/>
            <w:shd w:val="clear" w:color="auto" w:fill="auto"/>
            <w:vAlign w:val="center"/>
          </w:tcPr>
          <w:p w14:paraId="4FFEDFD9">
            <w:pPr>
              <w:numPr>
                <w:ilvl w:val="0"/>
                <w:numId w:val="0"/>
              </w:numPr>
              <w:wordWrap w:val="0"/>
              <w:topLinePunct/>
              <w:adjustRightInd w:val="0"/>
              <w:snapToGrid w:val="0"/>
              <w:rPr>
                <w:rFonts w:hint="eastAsia" w:ascii="宋体" w:hAnsi="宋体" w:eastAsia="宋体" w:cs="宋体"/>
                <w:kern w:val="2"/>
                <w:sz w:val="18"/>
                <w:szCs w:val="18"/>
                <w:highlight w:val="none"/>
                <w:lang w:val="en-US" w:eastAsia="zh-CN" w:bidi="ar-SA"/>
              </w:rPr>
            </w:pPr>
          </w:p>
        </w:tc>
        <w:tc>
          <w:tcPr>
            <w:tcW w:w="667" w:type="pct"/>
            <w:shd w:val="clear" w:color="auto" w:fill="auto"/>
            <w:vAlign w:val="center"/>
          </w:tcPr>
          <w:p w14:paraId="5A3F6082">
            <w:pPr>
              <w:wordWrap w:val="0"/>
              <w:topLinePunct/>
              <w:adjustRightInd w:val="0"/>
              <w:snapToGrid w:val="0"/>
              <w:jc w:val="center"/>
              <w:rPr>
                <w:rFonts w:hint="eastAsia" w:ascii="宋体" w:hAnsi="宋体" w:eastAsia="宋体" w:cs="宋体"/>
                <w:sz w:val="18"/>
                <w:szCs w:val="18"/>
                <w:highlight w:val="none"/>
                <w:lang w:val="en-US" w:eastAsia="zh-CN"/>
              </w:rPr>
            </w:pPr>
            <w:r>
              <w:rPr>
                <w:rFonts w:hint="eastAsia" w:ascii="宋体" w:hAnsi="宋体" w:eastAsia="宋体" w:cs="宋体"/>
                <w:sz w:val="18"/>
                <w:szCs w:val="18"/>
                <w:highlight w:val="none"/>
                <w:lang w:val="en-US" w:eastAsia="zh-CN"/>
              </w:rPr>
              <w:t>1</w:t>
            </w:r>
          </w:p>
        </w:tc>
        <w:tc>
          <w:tcPr>
            <w:tcW w:w="667" w:type="pct"/>
            <w:shd w:val="clear" w:color="auto" w:fill="auto"/>
            <w:vAlign w:val="center"/>
          </w:tcPr>
          <w:p w14:paraId="3F921D40">
            <w:pPr>
              <w:wordWrap w:val="0"/>
              <w:topLinePunct/>
              <w:adjustRightInd w:val="0"/>
              <w:snapToGrid w:val="0"/>
              <w:jc w:val="center"/>
              <w:rPr>
                <w:rFonts w:hint="eastAsia" w:ascii="宋体" w:hAnsi="宋体" w:eastAsia="宋体" w:cs="宋体"/>
                <w:sz w:val="18"/>
                <w:szCs w:val="18"/>
                <w:highlight w:val="none"/>
                <w:lang w:val="en-US" w:eastAsia="zh-CN"/>
              </w:rPr>
            </w:pPr>
            <w:r>
              <w:rPr>
                <w:rFonts w:hint="eastAsia" w:ascii="宋体" w:hAnsi="宋体" w:eastAsia="宋体" w:cs="宋体"/>
                <w:sz w:val="18"/>
                <w:szCs w:val="18"/>
                <w:highlight w:val="none"/>
                <w:lang w:val="en-US" w:eastAsia="zh-CN"/>
              </w:rPr>
              <w:t>张</w:t>
            </w:r>
          </w:p>
        </w:tc>
        <w:tc>
          <w:tcPr>
            <w:tcW w:w="667" w:type="pct"/>
            <w:shd w:val="clear" w:color="auto" w:fill="auto"/>
            <w:vAlign w:val="center"/>
          </w:tcPr>
          <w:p w14:paraId="21CDCD6F">
            <w:pPr>
              <w:wordWrap w:val="0"/>
              <w:topLinePunct/>
              <w:adjustRightInd w:val="0"/>
              <w:snapToGrid w:val="0"/>
              <w:jc w:val="center"/>
              <w:rPr>
                <w:rFonts w:hint="eastAsia" w:ascii="宋体" w:hAnsi="宋体" w:eastAsia="宋体" w:cs="宋体"/>
                <w:sz w:val="18"/>
                <w:szCs w:val="18"/>
                <w:highlight w:val="none"/>
              </w:rPr>
            </w:pPr>
          </w:p>
        </w:tc>
        <w:tc>
          <w:tcPr>
            <w:tcW w:w="667" w:type="pct"/>
            <w:shd w:val="clear" w:color="auto" w:fill="auto"/>
            <w:vAlign w:val="center"/>
          </w:tcPr>
          <w:p w14:paraId="2CF83958">
            <w:pPr>
              <w:wordWrap w:val="0"/>
              <w:topLinePunct/>
              <w:adjustRightInd w:val="0"/>
              <w:snapToGrid w:val="0"/>
              <w:jc w:val="center"/>
              <w:rPr>
                <w:rFonts w:hint="eastAsia" w:ascii="宋体" w:hAnsi="宋体" w:eastAsia="宋体" w:cs="宋体"/>
                <w:sz w:val="18"/>
                <w:szCs w:val="18"/>
                <w:highlight w:val="none"/>
              </w:rPr>
            </w:pPr>
          </w:p>
        </w:tc>
      </w:tr>
      <w:tr w14:paraId="0E0628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trPr>
        <w:tc>
          <w:tcPr>
            <w:tcW w:w="384" w:type="pct"/>
            <w:shd w:val="clear" w:color="auto" w:fill="auto"/>
            <w:vAlign w:val="center"/>
          </w:tcPr>
          <w:p w14:paraId="3C179F52">
            <w:pPr>
              <w:wordWrap w:val="0"/>
              <w:topLinePunct/>
              <w:adjustRightInd w:val="0"/>
              <w:snapToGrid w:val="0"/>
              <w:jc w:val="center"/>
              <w:rPr>
                <w:rFonts w:hint="eastAsia" w:ascii="宋体" w:hAnsi="宋体" w:eastAsia="宋体" w:cs="宋体"/>
                <w:sz w:val="18"/>
                <w:szCs w:val="18"/>
                <w:highlight w:val="none"/>
                <w:lang w:val="en-US" w:eastAsia="zh-CN"/>
              </w:rPr>
            </w:pPr>
            <w:r>
              <w:rPr>
                <w:rFonts w:hint="eastAsia" w:ascii="宋体" w:hAnsi="宋体" w:eastAsia="宋体" w:cs="宋体"/>
                <w:sz w:val="18"/>
                <w:szCs w:val="18"/>
                <w:highlight w:val="none"/>
                <w:lang w:val="en-US" w:eastAsia="zh-CN"/>
              </w:rPr>
              <w:t>5</w:t>
            </w:r>
          </w:p>
        </w:tc>
        <w:tc>
          <w:tcPr>
            <w:tcW w:w="608" w:type="pct"/>
            <w:shd w:val="clear" w:color="auto" w:fill="auto"/>
            <w:vAlign w:val="center"/>
          </w:tcPr>
          <w:p w14:paraId="21B0130E">
            <w:pPr>
              <w:jc w:val="center"/>
              <w:rPr>
                <w:rFonts w:hint="eastAsia" w:ascii="宋体" w:hAnsi="宋体" w:eastAsia="宋体" w:cs="宋体"/>
                <w:sz w:val="18"/>
                <w:szCs w:val="18"/>
                <w:highlight w:val="none"/>
                <w:lang w:val="en-US" w:eastAsia="zh-CN"/>
              </w:rPr>
            </w:pPr>
            <w:r>
              <w:rPr>
                <w:rFonts w:hint="eastAsia" w:ascii="宋体" w:hAnsi="宋体" w:eastAsia="宋体" w:cs="宋体"/>
                <w:szCs w:val="21"/>
                <w:highlight w:val="none"/>
                <w:lang w:val="en-US" w:eastAsia="zh-CN"/>
              </w:rPr>
              <w:t>档案柜</w:t>
            </w:r>
          </w:p>
        </w:tc>
        <w:tc>
          <w:tcPr>
            <w:tcW w:w="667" w:type="pct"/>
            <w:shd w:val="clear" w:color="auto" w:fill="auto"/>
            <w:vAlign w:val="center"/>
          </w:tcPr>
          <w:p w14:paraId="39F4863E">
            <w:pPr>
              <w:jc w:val="center"/>
              <w:rPr>
                <w:rFonts w:hint="eastAsia" w:ascii="宋体" w:hAnsi="宋体" w:eastAsia="宋体" w:cs="宋体"/>
                <w:szCs w:val="21"/>
                <w:highlight w:val="none"/>
                <w:lang w:val="en-US" w:eastAsia="zh-CN"/>
              </w:rPr>
            </w:pPr>
          </w:p>
        </w:tc>
        <w:tc>
          <w:tcPr>
            <w:tcW w:w="667" w:type="pct"/>
            <w:shd w:val="clear" w:color="auto" w:fill="auto"/>
            <w:vAlign w:val="center"/>
          </w:tcPr>
          <w:p w14:paraId="0B7DA28B">
            <w:pPr>
              <w:numPr>
                <w:ilvl w:val="0"/>
                <w:numId w:val="0"/>
              </w:numPr>
              <w:wordWrap w:val="0"/>
              <w:topLinePunct/>
              <w:adjustRightInd w:val="0"/>
              <w:snapToGrid w:val="0"/>
              <w:rPr>
                <w:rFonts w:hint="eastAsia" w:ascii="宋体" w:hAnsi="宋体" w:eastAsia="宋体" w:cs="宋体"/>
                <w:kern w:val="2"/>
                <w:sz w:val="18"/>
                <w:szCs w:val="18"/>
                <w:highlight w:val="none"/>
                <w:lang w:val="en-US" w:eastAsia="zh-CN" w:bidi="ar-SA"/>
              </w:rPr>
            </w:pPr>
          </w:p>
        </w:tc>
        <w:tc>
          <w:tcPr>
            <w:tcW w:w="667" w:type="pct"/>
            <w:shd w:val="clear" w:color="auto" w:fill="auto"/>
            <w:vAlign w:val="center"/>
          </w:tcPr>
          <w:p w14:paraId="21BF38AC">
            <w:pPr>
              <w:wordWrap w:val="0"/>
              <w:topLinePunct/>
              <w:adjustRightInd w:val="0"/>
              <w:snapToGrid w:val="0"/>
              <w:jc w:val="center"/>
              <w:rPr>
                <w:rFonts w:hint="eastAsia" w:ascii="宋体" w:hAnsi="宋体" w:eastAsia="宋体" w:cs="宋体"/>
                <w:sz w:val="18"/>
                <w:szCs w:val="18"/>
                <w:highlight w:val="none"/>
                <w:lang w:val="en-US" w:eastAsia="zh-CN"/>
              </w:rPr>
            </w:pPr>
            <w:r>
              <w:rPr>
                <w:rFonts w:hint="eastAsia" w:ascii="宋体" w:hAnsi="宋体" w:eastAsia="宋体" w:cs="宋体"/>
                <w:sz w:val="18"/>
                <w:szCs w:val="18"/>
                <w:highlight w:val="none"/>
                <w:lang w:val="en-US" w:eastAsia="zh-CN"/>
              </w:rPr>
              <w:t>202</w:t>
            </w:r>
          </w:p>
        </w:tc>
        <w:tc>
          <w:tcPr>
            <w:tcW w:w="667" w:type="pct"/>
            <w:shd w:val="clear" w:color="auto" w:fill="auto"/>
            <w:vAlign w:val="center"/>
          </w:tcPr>
          <w:p w14:paraId="2366CCDB">
            <w:pPr>
              <w:wordWrap w:val="0"/>
              <w:topLinePunct/>
              <w:adjustRightInd w:val="0"/>
              <w:snapToGrid w:val="0"/>
              <w:jc w:val="center"/>
              <w:rPr>
                <w:rFonts w:hint="eastAsia" w:ascii="宋体" w:hAnsi="宋体" w:eastAsia="宋体" w:cs="宋体"/>
                <w:sz w:val="18"/>
                <w:szCs w:val="18"/>
                <w:highlight w:val="none"/>
                <w:lang w:val="en-US" w:eastAsia="zh-CN"/>
              </w:rPr>
            </w:pPr>
            <w:r>
              <w:rPr>
                <w:rFonts w:hint="eastAsia" w:ascii="宋体" w:hAnsi="宋体" w:eastAsia="宋体" w:cs="宋体"/>
                <w:sz w:val="18"/>
                <w:szCs w:val="18"/>
                <w:highlight w:val="none"/>
                <w:lang w:val="en-US" w:eastAsia="zh-CN"/>
              </w:rPr>
              <w:t>个</w:t>
            </w:r>
          </w:p>
        </w:tc>
        <w:tc>
          <w:tcPr>
            <w:tcW w:w="667" w:type="pct"/>
            <w:shd w:val="clear" w:color="auto" w:fill="auto"/>
            <w:vAlign w:val="center"/>
          </w:tcPr>
          <w:p w14:paraId="09806CD8">
            <w:pPr>
              <w:wordWrap w:val="0"/>
              <w:topLinePunct/>
              <w:adjustRightInd w:val="0"/>
              <w:snapToGrid w:val="0"/>
              <w:jc w:val="center"/>
              <w:rPr>
                <w:rFonts w:hint="eastAsia" w:ascii="宋体" w:hAnsi="宋体" w:eastAsia="宋体" w:cs="宋体"/>
                <w:sz w:val="18"/>
                <w:szCs w:val="18"/>
                <w:highlight w:val="none"/>
              </w:rPr>
            </w:pPr>
          </w:p>
        </w:tc>
        <w:tc>
          <w:tcPr>
            <w:tcW w:w="667" w:type="pct"/>
            <w:shd w:val="clear" w:color="auto" w:fill="auto"/>
            <w:vAlign w:val="center"/>
          </w:tcPr>
          <w:p w14:paraId="599E4490">
            <w:pPr>
              <w:wordWrap w:val="0"/>
              <w:topLinePunct/>
              <w:adjustRightInd w:val="0"/>
              <w:snapToGrid w:val="0"/>
              <w:jc w:val="center"/>
              <w:rPr>
                <w:rFonts w:hint="eastAsia" w:ascii="宋体" w:hAnsi="宋体" w:eastAsia="宋体" w:cs="宋体"/>
                <w:sz w:val="18"/>
                <w:szCs w:val="18"/>
                <w:highlight w:val="none"/>
              </w:rPr>
            </w:pPr>
          </w:p>
        </w:tc>
      </w:tr>
      <w:tr w14:paraId="13A5C1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trPr>
        <w:tc>
          <w:tcPr>
            <w:tcW w:w="384" w:type="pct"/>
            <w:shd w:val="clear" w:color="auto" w:fill="auto"/>
            <w:vAlign w:val="center"/>
          </w:tcPr>
          <w:p w14:paraId="5309AA42">
            <w:pPr>
              <w:wordWrap w:val="0"/>
              <w:topLinePunct/>
              <w:adjustRightInd w:val="0"/>
              <w:snapToGrid w:val="0"/>
              <w:jc w:val="center"/>
              <w:rPr>
                <w:rFonts w:hint="eastAsia" w:ascii="宋体" w:hAnsi="宋体" w:eastAsia="宋体" w:cs="宋体"/>
                <w:sz w:val="18"/>
                <w:szCs w:val="18"/>
                <w:highlight w:val="none"/>
                <w:lang w:val="en-US" w:eastAsia="zh-CN"/>
              </w:rPr>
            </w:pPr>
            <w:r>
              <w:rPr>
                <w:rFonts w:hint="eastAsia" w:ascii="宋体" w:hAnsi="宋体" w:eastAsia="宋体" w:cs="宋体"/>
                <w:sz w:val="18"/>
                <w:szCs w:val="18"/>
                <w:highlight w:val="none"/>
                <w:lang w:val="en-US" w:eastAsia="zh-CN"/>
              </w:rPr>
              <w:t>6</w:t>
            </w:r>
          </w:p>
        </w:tc>
        <w:tc>
          <w:tcPr>
            <w:tcW w:w="608" w:type="pct"/>
            <w:shd w:val="clear" w:color="auto" w:fill="auto"/>
            <w:vAlign w:val="center"/>
          </w:tcPr>
          <w:p w14:paraId="35F9EA67">
            <w:pPr>
              <w:jc w:val="center"/>
              <w:rPr>
                <w:rFonts w:hint="eastAsia" w:ascii="宋体" w:hAnsi="宋体" w:eastAsia="宋体" w:cs="宋体"/>
                <w:sz w:val="18"/>
                <w:szCs w:val="18"/>
                <w:highlight w:val="none"/>
                <w:lang w:val="en-US" w:eastAsia="zh-CN"/>
              </w:rPr>
            </w:pPr>
            <w:r>
              <w:rPr>
                <w:rFonts w:hint="eastAsia" w:ascii="宋体" w:hAnsi="宋体" w:eastAsia="宋体" w:cs="宋体"/>
                <w:szCs w:val="21"/>
                <w:highlight w:val="none"/>
                <w:lang w:val="en-US" w:eastAsia="zh-CN"/>
              </w:rPr>
              <w:t>货架</w:t>
            </w:r>
          </w:p>
        </w:tc>
        <w:tc>
          <w:tcPr>
            <w:tcW w:w="667" w:type="pct"/>
            <w:shd w:val="clear" w:color="auto" w:fill="auto"/>
            <w:vAlign w:val="center"/>
          </w:tcPr>
          <w:p w14:paraId="41206E9A">
            <w:pPr>
              <w:jc w:val="center"/>
              <w:rPr>
                <w:rFonts w:hint="eastAsia" w:ascii="宋体" w:hAnsi="宋体" w:eastAsia="宋体" w:cs="宋体"/>
                <w:szCs w:val="21"/>
                <w:highlight w:val="none"/>
                <w:lang w:val="en-US" w:eastAsia="zh-CN"/>
              </w:rPr>
            </w:pPr>
          </w:p>
        </w:tc>
        <w:tc>
          <w:tcPr>
            <w:tcW w:w="667" w:type="pct"/>
            <w:shd w:val="clear" w:color="auto" w:fill="auto"/>
            <w:vAlign w:val="center"/>
          </w:tcPr>
          <w:p w14:paraId="4CE7909B">
            <w:pPr>
              <w:numPr>
                <w:ilvl w:val="0"/>
                <w:numId w:val="0"/>
              </w:numPr>
              <w:wordWrap w:val="0"/>
              <w:topLinePunct/>
              <w:adjustRightInd w:val="0"/>
              <w:snapToGrid w:val="0"/>
              <w:rPr>
                <w:rFonts w:hint="eastAsia" w:ascii="宋体" w:hAnsi="宋体" w:eastAsia="宋体" w:cs="宋体"/>
                <w:kern w:val="2"/>
                <w:sz w:val="18"/>
                <w:szCs w:val="18"/>
                <w:highlight w:val="none"/>
                <w:lang w:val="en-US" w:eastAsia="zh-CN" w:bidi="ar-SA"/>
              </w:rPr>
            </w:pPr>
          </w:p>
        </w:tc>
        <w:tc>
          <w:tcPr>
            <w:tcW w:w="667" w:type="pct"/>
            <w:shd w:val="clear" w:color="auto" w:fill="auto"/>
            <w:vAlign w:val="center"/>
          </w:tcPr>
          <w:p w14:paraId="1A7A4635">
            <w:pPr>
              <w:wordWrap w:val="0"/>
              <w:topLinePunct/>
              <w:adjustRightInd w:val="0"/>
              <w:snapToGrid w:val="0"/>
              <w:jc w:val="center"/>
              <w:rPr>
                <w:rFonts w:hint="eastAsia" w:ascii="宋体" w:hAnsi="宋体" w:eastAsia="宋体" w:cs="宋体"/>
                <w:sz w:val="18"/>
                <w:szCs w:val="18"/>
                <w:highlight w:val="none"/>
                <w:lang w:val="en-US" w:eastAsia="zh-CN"/>
              </w:rPr>
            </w:pPr>
            <w:r>
              <w:rPr>
                <w:rFonts w:hint="eastAsia" w:ascii="宋体" w:hAnsi="宋体" w:eastAsia="宋体" w:cs="宋体"/>
                <w:sz w:val="18"/>
                <w:szCs w:val="18"/>
                <w:highlight w:val="none"/>
                <w:lang w:val="en-US" w:eastAsia="zh-CN"/>
              </w:rPr>
              <w:t>96</w:t>
            </w:r>
          </w:p>
        </w:tc>
        <w:tc>
          <w:tcPr>
            <w:tcW w:w="667" w:type="pct"/>
            <w:shd w:val="clear" w:color="auto" w:fill="auto"/>
            <w:vAlign w:val="center"/>
          </w:tcPr>
          <w:p w14:paraId="64DCA42E">
            <w:pPr>
              <w:wordWrap w:val="0"/>
              <w:topLinePunct/>
              <w:adjustRightInd w:val="0"/>
              <w:snapToGrid w:val="0"/>
              <w:jc w:val="center"/>
              <w:rPr>
                <w:rFonts w:hint="eastAsia" w:ascii="宋体" w:hAnsi="宋体" w:eastAsia="宋体" w:cs="宋体"/>
                <w:sz w:val="18"/>
                <w:szCs w:val="18"/>
                <w:highlight w:val="none"/>
                <w:lang w:val="en-US" w:eastAsia="zh-CN"/>
              </w:rPr>
            </w:pPr>
            <w:r>
              <w:rPr>
                <w:rFonts w:hint="eastAsia" w:ascii="宋体" w:hAnsi="宋体" w:eastAsia="宋体" w:cs="宋体"/>
                <w:sz w:val="18"/>
                <w:szCs w:val="18"/>
                <w:highlight w:val="none"/>
                <w:lang w:val="en-US" w:eastAsia="zh-CN"/>
              </w:rPr>
              <w:t>个</w:t>
            </w:r>
          </w:p>
        </w:tc>
        <w:tc>
          <w:tcPr>
            <w:tcW w:w="667" w:type="pct"/>
            <w:shd w:val="clear" w:color="auto" w:fill="auto"/>
            <w:vAlign w:val="center"/>
          </w:tcPr>
          <w:p w14:paraId="51B1668F">
            <w:pPr>
              <w:wordWrap w:val="0"/>
              <w:topLinePunct/>
              <w:adjustRightInd w:val="0"/>
              <w:snapToGrid w:val="0"/>
              <w:jc w:val="center"/>
              <w:rPr>
                <w:rFonts w:hint="eastAsia" w:ascii="宋体" w:hAnsi="宋体" w:eastAsia="宋体" w:cs="宋体"/>
                <w:sz w:val="18"/>
                <w:szCs w:val="18"/>
                <w:highlight w:val="none"/>
              </w:rPr>
            </w:pPr>
          </w:p>
        </w:tc>
        <w:tc>
          <w:tcPr>
            <w:tcW w:w="667" w:type="pct"/>
            <w:shd w:val="clear" w:color="auto" w:fill="auto"/>
            <w:vAlign w:val="center"/>
          </w:tcPr>
          <w:p w14:paraId="076756F8">
            <w:pPr>
              <w:wordWrap w:val="0"/>
              <w:topLinePunct/>
              <w:adjustRightInd w:val="0"/>
              <w:snapToGrid w:val="0"/>
              <w:jc w:val="center"/>
              <w:rPr>
                <w:rFonts w:hint="eastAsia" w:ascii="宋体" w:hAnsi="宋体" w:eastAsia="宋体" w:cs="宋体"/>
                <w:sz w:val="18"/>
                <w:szCs w:val="18"/>
                <w:highlight w:val="none"/>
              </w:rPr>
            </w:pPr>
          </w:p>
        </w:tc>
      </w:tr>
      <w:tr w14:paraId="62244B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trPr>
        <w:tc>
          <w:tcPr>
            <w:tcW w:w="384" w:type="pct"/>
            <w:shd w:val="clear" w:color="auto" w:fill="auto"/>
            <w:vAlign w:val="center"/>
          </w:tcPr>
          <w:p w14:paraId="47A3620D">
            <w:pPr>
              <w:wordWrap w:val="0"/>
              <w:topLinePunct/>
              <w:adjustRightInd w:val="0"/>
              <w:snapToGrid w:val="0"/>
              <w:jc w:val="center"/>
              <w:rPr>
                <w:rFonts w:hint="eastAsia" w:ascii="宋体" w:hAnsi="宋体" w:eastAsia="宋体" w:cs="宋体"/>
                <w:sz w:val="18"/>
                <w:szCs w:val="18"/>
                <w:highlight w:val="none"/>
                <w:lang w:val="en-US" w:eastAsia="zh-CN"/>
              </w:rPr>
            </w:pPr>
            <w:r>
              <w:rPr>
                <w:rFonts w:hint="eastAsia" w:ascii="宋体" w:hAnsi="宋体" w:eastAsia="宋体" w:cs="宋体"/>
                <w:sz w:val="18"/>
                <w:szCs w:val="18"/>
                <w:highlight w:val="none"/>
                <w:lang w:val="en-US" w:eastAsia="zh-CN"/>
              </w:rPr>
              <w:t>7</w:t>
            </w:r>
          </w:p>
        </w:tc>
        <w:tc>
          <w:tcPr>
            <w:tcW w:w="608" w:type="pct"/>
            <w:shd w:val="clear" w:color="auto" w:fill="auto"/>
            <w:vAlign w:val="center"/>
          </w:tcPr>
          <w:p w14:paraId="69B78E19">
            <w:pPr>
              <w:jc w:val="center"/>
              <w:rPr>
                <w:rFonts w:hint="eastAsia" w:ascii="宋体" w:hAnsi="宋体" w:eastAsia="宋体" w:cs="宋体"/>
                <w:sz w:val="18"/>
                <w:szCs w:val="18"/>
                <w:highlight w:val="none"/>
                <w:lang w:val="en-US" w:eastAsia="zh-CN"/>
              </w:rPr>
            </w:pPr>
            <w:r>
              <w:rPr>
                <w:rFonts w:hint="eastAsia" w:ascii="宋体" w:hAnsi="宋体" w:eastAsia="宋体" w:cs="宋体"/>
                <w:szCs w:val="21"/>
                <w:highlight w:val="none"/>
                <w:lang w:val="en-US" w:eastAsia="zh-CN"/>
              </w:rPr>
              <w:t>条桌</w:t>
            </w:r>
          </w:p>
        </w:tc>
        <w:tc>
          <w:tcPr>
            <w:tcW w:w="667" w:type="pct"/>
            <w:shd w:val="clear" w:color="auto" w:fill="auto"/>
            <w:vAlign w:val="center"/>
          </w:tcPr>
          <w:p w14:paraId="7070BB2B">
            <w:pPr>
              <w:jc w:val="center"/>
              <w:rPr>
                <w:rFonts w:hint="eastAsia" w:ascii="宋体" w:hAnsi="宋体" w:eastAsia="宋体" w:cs="宋体"/>
                <w:szCs w:val="21"/>
                <w:highlight w:val="none"/>
                <w:lang w:val="en-US" w:eastAsia="zh-CN"/>
              </w:rPr>
            </w:pPr>
          </w:p>
        </w:tc>
        <w:tc>
          <w:tcPr>
            <w:tcW w:w="667" w:type="pct"/>
            <w:shd w:val="clear" w:color="auto" w:fill="auto"/>
            <w:vAlign w:val="center"/>
          </w:tcPr>
          <w:p w14:paraId="3BC137DF">
            <w:pPr>
              <w:numPr>
                <w:ilvl w:val="0"/>
                <w:numId w:val="0"/>
              </w:numPr>
              <w:wordWrap w:val="0"/>
              <w:topLinePunct/>
              <w:adjustRightInd w:val="0"/>
              <w:snapToGrid w:val="0"/>
              <w:rPr>
                <w:rFonts w:hint="eastAsia" w:ascii="宋体" w:hAnsi="宋体" w:eastAsia="宋体" w:cs="宋体"/>
                <w:kern w:val="2"/>
                <w:sz w:val="18"/>
                <w:szCs w:val="18"/>
                <w:highlight w:val="none"/>
                <w:lang w:val="en-US" w:eastAsia="zh-CN" w:bidi="ar-SA"/>
              </w:rPr>
            </w:pPr>
          </w:p>
        </w:tc>
        <w:tc>
          <w:tcPr>
            <w:tcW w:w="667" w:type="pct"/>
            <w:shd w:val="clear" w:color="auto" w:fill="auto"/>
            <w:vAlign w:val="center"/>
          </w:tcPr>
          <w:p w14:paraId="1640D3E9">
            <w:pPr>
              <w:wordWrap w:val="0"/>
              <w:topLinePunct/>
              <w:adjustRightInd w:val="0"/>
              <w:snapToGrid w:val="0"/>
              <w:jc w:val="center"/>
              <w:rPr>
                <w:rFonts w:hint="eastAsia" w:ascii="宋体" w:hAnsi="宋体" w:eastAsia="宋体" w:cs="宋体"/>
                <w:sz w:val="18"/>
                <w:szCs w:val="18"/>
                <w:highlight w:val="none"/>
                <w:lang w:val="en-US" w:eastAsia="zh-CN"/>
              </w:rPr>
            </w:pPr>
            <w:r>
              <w:rPr>
                <w:rFonts w:hint="eastAsia" w:ascii="宋体" w:hAnsi="宋体" w:eastAsia="宋体" w:cs="宋体"/>
                <w:sz w:val="18"/>
                <w:szCs w:val="18"/>
                <w:highlight w:val="none"/>
                <w:lang w:val="en-US" w:eastAsia="zh-CN"/>
              </w:rPr>
              <w:t>52</w:t>
            </w:r>
          </w:p>
        </w:tc>
        <w:tc>
          <w:tcPr>
            <w:tcW w:w="667" w:type="pct"/>
            <w:shd w:val="clear" w:color="auto" w:fill="auto"/>
            <w:vAlign w:val="center"/>
          </w:tcPr>
          <w:p w14:paraId="4BEA113E">
            <w:pPr>
              <w:wordWrap w:val="0"/>
              <w:topLinePunct/>
              <w:adjustRightInd w:val="0"/>
              <w:snapToGrid w:val="0"/>
              <w:jc w:val="center"/>
              <w:rPr>
                <w:rFonts w:hint="eastAsia" w:ascii="宋体" w:hAnsi="宋体" w:eastAsia="宋体" w:cs="宋体"/>
                <w:sz w:val="18"/>
                <w:szCs w:val="18"/>
                <w:highlight w:val="none"/>
                <w:lang w:val="en-US" w:eastAsia="zh-CN"/>
              </w:rPr>
            </w:pPr>
            <w:r>
              <w:rPr>
                <w:rFonts w:hint="eastAsia" w:ascii="宋体" w:hAnsi="宋体" w:eastAsia="宋体" w:cs="宋体"/>
                <w:sz w:val="18"/>
                <w:szCs w:val="18"/>
                <w:highlight w:val="none"/>
                <w:lang w:val="en-US" w:eastAsia="zh-CN"/>
              </w:rPr>
              <w:t>张</w:t>
            </w:r>
          </w:p>
        </w:tc>
        <w:tc>
          <w:tcPr>
            <w:tcW w:w="667" w:type="pct"/>
            <w:shd w:val="clear" w:color="auto" w:fill="auto"/>
            <w:vAlign w:val="center"/>
          </w:tcPr>
          <w:p w14:paraId="3CFE313D">
            <w:pPr>
              <w:wordWrap w:val="0"/>
              <w:topLinePunct/>
              <w:adjustRightInd w:val="0"/>
              <w:snapToGrid w:val="0"/>
              <w:jc w:val="center"/>
              <w:rPr>
                <w:rFonts w:hint="eastAsia" w:ascii="宋体" w:hAnsi="宋体" w:eastAsia="宋体" w:cs="宋体"/>
                <w:sz w:val="18"/>
                <w:szCs w:val="18"/>
                <w:highlight w:val="none"/>
              </w:rPr>
            </w:pPr>
          </w:p>
        </w:tc>
        <w:tc>
          <w:tcPr>
            <w:tcW w:w="667" w:type="pct"/>
            <w:shd w:val="clear" w:color="auto" w:fill="auto"/>
            <w:vAlign w:val="center"/>
          </w:tcPr>
          <w:p w14:paraId="3DB42204">
            <w:pPr>
              <w:wordWrap w:val="0"/>
              <w:topLinePunct/>
              <w:adjustRightInd w:val="0"/>
              <w:snapToGrid w:val="0"/>
              <w:jc w:val="center"/>
              <w:rPr>
                <w:rFonts w:hint="eastAsia" w:ascii="宋体" w:hAnsi="宋体" w:eastAsia="宋体" w:cs="宋体"/>
                <w:sz w:val="18"/>
                <w:szCs w:val="18"/>
                <w:highlight w:val="none"/>
              </w:rPr>
            </w:pPr>
          </w:p>
        </w:tc>
      </w:tr>
      <w:tr w14:paraId="795A21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trPr>
        <w:tc>
          <w:tcPr>
            <w:tcW w:w="384" w:type="pct"/>
            <w:shd w:val="clear" w:color="auto" w:fill="auto"/>
            <w:vAlign w:val="center"/>
          </w:tcPr>
          <w:p w14:paraId="3BACD9A4">
            <w:pPr>
              <w:wordWrap w:val="0"/>
              <w:topLinePunct/>
              <w:adjustRightInd w:val="0"/>
              <w:snapToGrid w:val="0"/>
              <w:jc w:val="center"/>
              <w:rPr>
                <w:rFonts w:hint="eastAsia" w:ascii="宋体" w:hAnsi="宋体" w:eastAsia="宋体" w:cs="宋体"/>
                <w:sz w:val="18"/>
                <w:szCs w:val="18"/>
                <w:highlight w:val="none"/>
                <w:lang w:val="en-US" w:eastAsia="zh-CN"/>
              </w:rPr>
            </w:pPr>
            <w:r>
              <w:rPr>
                <w:rFonts w:hint="eastAsia" w:ascii="宋体" w:hAnsi="宋体" w:eastAsia="宋体" w:cs="宋体"/>
                <w:sz w:val="18"/>
                <w:szCs w:val="18"/>
                <w:highlight w:val="none"/>
                <w:lang w:val="en-US" w:eastAsia="zh-CN"/>
              </w:rPr>
              <w:t>8</w:t>
            </w:r>
          </w:p>
        </w:tc>
        <w:tc>
          <w:tcPr>
            <w:tcW w:w="608" w:type="pct"/>
            <w:shd w:val="clear" w:color="auto" w:fill="auto"/>
            <w:vAlign w:val="center"/>
          </w:tcPr>
          <w:p w14:paraId="37723B37">
            <w:pPr>
              <w:jc w:val="center"/>
              <w:rPr>
                <w:rFonts w:hint="eastAsia" w:ascii="宋体" w:hAnsi="宋体" w:eastAsia="宋体" w:cs="宋体"/>
                <w:szCs w:val="21"/>
                <w:highlight w:val="none"/>
                <w:lang w:val="en-US" w:eastAsia="zh-CN"/>
              </w:rPr>
            </w:pPr>
            <w:r>
              <w:rPr>
                <w:rFonts w:hint="eastAsia" w:ascii="宋体" w:hAnsi="宋体" w:eastAsia="宋体" w:cs="宋体"/>
                <w:szCs w:val="21"/>
                <w:highlight w:val="none"/>
                <w:lang w:val="en-US" w:eastAsia="zh-CN"/>
              </w:rPr>
              <w:t>靠背塑料椅</w:t>
            </w:r>
          </w:p>
        </w:tc>
        <w:tc>
          <w:tcPr>
            <w:tcW w:w="667" w:type="pct"/>
            <w:shd w:val="clear" w:color="auto" w:fill="auto"/>
            <w:vAlign w:val="center"/>
          </w:tcPr>
          <w:p w14:paraId="12FDCFEE">
            <w:pPr>
              <w:jc w:val="center"/>
              <w:rPr>
                <w:rFonts w:hint="eastAsia" w:ascii="宋体" w:hAnsi="宋体" w:eastAsia="宋体" w:cs="宋体"/>
                <w:szCs w:val="21"/>
                <w:highlight w:val="none"/>
                <w:lang w:val="en-US" w:eastAsia="zh-CN"/>
              </w:rPr>
            </w:pPr>
          </w:p>
        </w:tc>
        <w:tc>
          <w:tcPr>
            <w:tcW w:w="667" w:type="pct"/>
            <w:shd w:val="clear" w:color="auto" w:fill="auto"/>
            <w:vAlign w:val="center"/>
          </w:tcPr>
          <w:p w14:paraId="16B44F3A">
            <w:pPr>
              <w:numPr>
                <w:ilvl w:val="0"/>
                <w:numId w:val="0"/>
              </w:numPr>
              <w:wordWrap w:val="0"/>
              <w:topLinePunct/>
              <w:adjustRightInd w:val="0"/>
              <w:snapToGrid w:val="0"/>
              <w:rPr>
                <w:rFonts w:hint="eastAsia" w:ascii="宋体" w:hAnsi="宋体" w:eastAsia="宋体" w:cs="宋体"/>
                <w:kern w:val="2"/>
                <w:sz w:val="18"/>
                <w:szCs w:val="18"/>
                <w:highlight w:val="none"/>
                <w:lang w:val="en-US" w:eastAsia="zh-CN" w:bidi="ar-SA"/>
              </w:rPr>
            </w:pPr>
          </w:p>
        </w:tc>
        <w:tc>
          <w:tcPr>
            <w:tcW w:w="667" w:type="pct"/>
            <w:shd w:val="clear" w:color="auto" w:fill="auto"/>
            <w:vAlign w:val="center"/>
          </w:tcPr>
          <w:p w14:paraId="08614D9A">
            <w:pPr>
              <w:wordWrap w:val="0"/>
              <w:topLinePunct/>
              <w:adjustRightInd w:val="0"/>
              <w:snapToGrid w:val="0"/>
              <w:jc w:val="center"/>
              <w:rPr>
                <w:rFonts w:hint="eastAsia" w:ascii="宋体" w:hAnsi="宋体" w:eastAsia="宋体" w:cs="宋体"/>
                <w:sz w:val="18"/>
                <w:szCs w:val="18"/>
                <w:highlight w:val="none"/>
                <w:lang w:val="en-US" w:eastAsia="zh-CN"/>
              </w:rPr>
            </w:pPr>
            <w:r>
              <w:rPr>
                <w:rFonts w:hint="eastAsia" w:ascii="宋体" w:hAnsi="宋体" w:eastAsia="宋体" w:cs="宋体"/>
                <w:sz w:val="18"/>
                <w:szCs w:val="18"/>
                <w:highlight w:val="none"/>
                <w:lang w:val="en-US" w:eastAsia="zh-CN"/>
              </w:rPr>
              <w:t>22</w:t>
            </w:r>
          </w:p>
        </w:tc>
        <w:tc>
          <w:tcPr>
            <w:tcW w:w="667" w:type="pct"/>
            <w:shd w:val="clear" w:color="auto" w:fill="auto"/>
            <w:vAlign w:val="center"/>
          </w:tcPr>
          <w:p w14:paraId="24557EE6">
            <w:pPr>
              <w:wordWrap w:val="0"/>
              <w:topLinePunct/>
              <w:adjustRightInd w:val="0"/>
              <w:snapToGrid w:val="0"/>
              <w:jc w:val="center"/>
              <w:rPr>
                <w:rFonts w:hint="eastAsia" w:ascii="宋体" w:hAnsi="宋体" w:eastAsia="宋体" w:cs="宋体"/>
                <w:sz w:val="18"/>
                <w:szCs w:val="18"/>
                <w:highlight w:val="none"/>
                <w:lang w:val="en-US" w:eastAsia="zh-CN"/>
              </w:rPr>
            </w:pPr>
            <w:r>
              <w:rPr>
                <w:rFonts w:hint="eastAsia" w:ascii="宋体" w:hAnsi="宋体" w:eastAsia="宋体" w:cs="宋体"/>
                <w:sz w:val="18"/>
                <w:szCs w:val="18"/>
                <w:highlight w:val="none"/>
                <w:lang w:val="en-US" w:eastAsia="zh-CN"/>
              </w:rPr>
              <w:t>把</w:t>
            </w:r>
          </w:p>
        </w:tc>
        <w:tc>
          <w:tcPr>
            <w:tcW w:w="667" w:type="pct"/>
            <w:shd w:val="clear" w:color="auto" w:fill="auto"/>
            <w:vAlign w:val="center"/>
          </w:tcPr>
          <w:p w14:paraId="5CC2645A">
            <w:pPr>
              <w:wordWrap w:val="0"/>
              <w:topLinePunct/>
              <w:adjustRightInd w:val="0"/>
              <w:snapToGrid w:val="0"/>
              <w:jc w:val="center"/>
              <w:rPr>
                <w:rFonts w:hint="eastAsia" w:ascii="宋体" w:hAnsi="宋体" w:eastAsia="宋体" w:cs="宋体"/>
                <w:sz w:val="18"/>
                <w:szCs w:val="18"/>
                <w:highlight w:val="none"/>
              </w:rPr>
            </w:pPr>
          </w:p>
        </w:tc>
        <w:tc>
          <w:tcPr>
            <w:tcW w:w="667" w:type="pct"/>
            <w:shd w:val="clear" w:color="auto" w:fill="auto"/>
            <w:vAlign w:val="center"/>
          </w:tcPr>
          <w:p w14:paraId="7793DE5B">
            <w:pPr>
              <w:wordWrap w:val="0"/>
              <w:topLinePunct/>
              <w:adjustRightInd w:val="0"/>
              <w:snapToGrid w:val="0"/>
              <w:jc w:val="center"/>
              <w:rPr>
                <w:rFonts w:hint="eastAsia" w:ascii="宋体" w:hAnsi="宋体" w:eastAsia="宋体" w:cs="宋体"/>
                <w:sz w:val="18"/>
                <w:szCs w:val="18"/>
                <w:highlight w:val="none"/>
              </w:rPr>
            </w:pPr>
          </w:p>
        </w:tc>
      </w:tr>
      <w:tr w14:paraId="16D32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8" w:hRule="atLeast"/>
        </w:trPr>
        <w:tc>
          <w:tcPr>
            <w:tcW w:w="992" w:type="pct"/>
            <w:gridSpan w:val="2"/>
            <w:shd w:val="clear" w:color="auto" w:fill="auto"/>
            <w:vAlign w:val="center"/>
          </w:tcPr>
          <w:p w14:paraId="3ADD8E83">
            <w:pPr>
              <w:wordWrap w:val="0"/>
              <w:topLinePunct/>
              <w:adjustRightInd w:val="0"/>
              <w:snapToGrid w:val="0"/>
              <w:jc w:val="center"/>
              <w:rPr>
                <w:rFonts w:hint="eastAsia" w:ascii="宋体" w:hAnsi="宋体" w:eastAsia="宋体" w:cs="宋体"/>
                <w:sz w:val="18"/>
                <w:szCs w:val="18"/>
                <w:highlight w:val="none"/>
                <w:lang w:val="en-US" w:eastAsia="zh-CN"/>
              </w:rPr>
            </w:pPr>
            <w:r>
              <w:rPr>
                <w:rFonts w:hint="eastAsia" w:ascii="宋体" w:hAnsi="宋体" w:eastAsia="宋体" w:cs="宋体"/>
                <w:sz w:val="18"/>
                <w:szCs w:val="18"/>
                <w:highlight w:val="none"/>
                <w:lang w:val="en-US" w:eastAsia="zh-CN"/>
              </w:rPr>
              <w:t>总计</w:t>
            </w:r>
          </w:p>
        </w:tc>
        <w:tc>
          <w:tcPr>
            <w:tcW w:w="667" w:type="pct"/>
            <w:shd w:val="clear" w:color="auto" w:fill="auto"/>
            <w:vAlign w:val="center"/>
          </w:tcPr>
          <w:p w14:paraId="43174598">
            <w:pPr>
              <w:wordWrap w:val="0"/>
              <w:topLinePunct/>
              <w:adjustRightInd w:val="0"/>
              <w:snapToGrid w:val="0"/>
              <w:jc w:val="center"/>
              <w:rPr>
                <w:rFonts w:hint="eastAsia" w:ascii="宋体" w:hAnsi="宋体" w:eastAsia="宋体" w:cs="宋体"/>
                <w:sz w:val="18"/>
                <w:szCs w:val="18"/>
                <w:highlight w:val="none"/>
                <w:lang w:val="en-US" w:eastAsia="zh-CN"/>
              </w:rPr>
            </w:pPr>
          </w:p>
        </w:tc>
        <w:tc>
          <w:tcPr>
            <w:tcW w:w="3339" w:type="pct"/>
            <w:gridSpan w:val="5"/>
            <w:shd w:val="clear" w:color="auto" w:fill="auto"/>
            <w:vAlign w:val="center"/>
          </w:tcPr>
          <w:p w14:paraId="5F67ADF2">
            <w:pPr>
              <w:wordWrap w:val="0"/>
              <w:topLinePunct/>
              <w:adjustRightInd w:val="0"/>
              <w:snapToGrid w:val="0"/>
              <w:jc w:val="center"/>
              <w:rPr>
                <w:rFonts w:hint="eastAsia" w:ascii="宋体" w:hAnsi="宋体" w:eastAsia="宋体" w:cs="宋体"/>
                <w:sz w:val="18"/>
                <w:szCs w:val="18"/>
                <w:highlight w:val="none"/>
              </w:rPr>
            </w:pPr>
          </w:p>
        </w:tc>
      </w:tr>
      <w:bookmarkEnd w:id="1"/>
    </w:tbl>
    <w:p w14:paraId="3D39CCF8">
      <w:pPr>
        <w:pStyle w:val="2"/>
        <w:rPr>
          <w:rFonts w:hint="eastAsia"/>
        </w:rPr>
      </w:pPr>
    </w:p>
    <w:p w14:paraId="13CC9806">
      <w:pPr>
        <w:keepNext w:val="0"/>
        <w:keepLines w:val="0"/>
        <w:pageBreakBefore w:val="0"/>
        <w:widowControl w:val="0"/>
        <w:shd w:val="clear" w:color="auto" w:fill="FFFFFF"/>
        <w:kinsoku/>
        <w:wordWrap/>
        <w:overflowPunct/>
        <w:topLinePunct w:val="0"/>
        <w:autoSpaceDE/>
        <w:autoSpaceDN/>
        <w:bidi w:val="0"/>
        <w:adjustRightInd w:val="0"/>
        <w:snapToGrid w:val="0"/>
        <w:spacing w:line="420" w:lineRule="exact"/>
        <w:textAlignment w:val="auto"/>
        <w:rPr>
          <w:rFonts w:hint="eastAsia" w:ascii="宋体" w:hAnsi="宋体"/>
          <w:b/>
          <w:color w:val="auto"/>
          <w:sz w:val="24"/>
        </w:rPr>
      </w:pPr>
    </w:p>
    <w:p w14:paraId="217EFFB6">
      <w:pPr>
        <w:keepNext w:val="0"/>
        <w:keepLines w:val="0"/>
        <w:pageBreakBefore w:val="0"/>
        <w:widowControl w:val="0"/>
        <w:shd w:val="clear" w:color="auto" w:fill="FFFFFF"/>
        <w:kinsoku/>
        <w:wordWrap/>
        <w:overflowPunct/>
        <w:topLinePunct w:val="0"/>
        <w:autoSpaceDE/>
        <w:autoSpaceDN/>
        <w:bidi w:val="0"/>
        <w:adjustRightInd w:val="0"/>
        <w:snapToGrid w:val="0"/>
        <w:spacing w:line="420" w:lineRule="exact"/>
        <w:textAlignment w:val="auto"/>
        <w:rPr>
          <w:rFonts w:hint="eastAsia" w:ascii="宋体" w:hAnsi="宋体"/>
          <w:b/>
          <w:color w:val="auto"/>
          <w:sz w:val="24"/>
        </w:rPr>
      </w:pPr>
      <w:r>
        <w:rPr>
          <w:rFonts w:hint="eastAsia" w:ascii="宋体" w:hAnsi="宋体"/>
          <w:b/>
          <w:color w:val="auto"/>
          <w:sz w:val="24"/>
        </w:rPr>
        <w:t>四、质量保证</w:t>
      </w:r>
    </w:p>
    <w:p w14:paraId="41D2E9BA">
      <w:pPr>
        <w:keepNext w:val="0"/>
        <w:keepLines w:val="0"/>
        <w:pageBreakBefore w:val="0"/>
        <w:widowControl w:val="0"/>
        <w:shd w:val="clear" w:color="auto" w:fill="FFFFFF"/>
        <w:kinsoku/>
        <w:wordWrap/>
        <w:overflowPunct/>
        <w:topLinePunct w:val="0"/>
        <w:autoSpaceDE/>
        <w:autoSpaceDN/>
        <w:bidi w:val="0"/>
        <w:adjustRightInd w:val="0"/>
        <w:snapToGrid w:val="0"/>
        <w:spacing w:line="420" w:lineRule="exact"/>
        <w:ind w:firstLine="480" w:firstLineChars="200"/>
        <w:textAlignment w:val="auto"/>
        <w:rPr>
          <w:rFonts w:hint="eastAsia" w:ascii="宋体" w:hAnsi="宋体"/>
          <w:b/>
          <w:color w:val="auto"/>
          <w:sz w:val="24"/>
        </w:rPr>
      </w:pPr>
      <w:r>
        <w:rPr>
          <w:rFonts w:hint="eastAsia" w:ascii="宋体" w:hAnsi="宋体"/>
          <w:bCs/>
          <w:color w:val="auto"/>
          <w:sz w:val="24"/>
        </w:rPr>
        <w:t>乙方提供产品应为全新正品，符合国家相关质量标准、行业标准以及双方约定的特殊质量要求。乙方需提供产品的出厂合格证</w:t>
      </w:r>
      <w:r>
        <w:rPr>
          <w:rFonts w:hint="eastAsia" w:ascii="宋体" w:hAnsi="宋体"/>
          <w:bCs/>
          <w:color w:val="auto"/>
          <w:sz w:val="24"/>
          <w:lang w:eastAsia="zh-CN"/>
        </w:rPr>
        <w:t>，</w:t>
      </w:r>
      <w:r>
        <w:rPr>
          <w:rFonts w:hint="eastAsia" w:ascii="宋体" w:hAnsi="宋体"/>
          <w:bCs/>
          <w:color w:val="auto"/>
          <w:sz w:val="24"/>
        </w:rPr>
        <w:t>如需额外质量检验报告等费用由甲方承担。如因质量问题导致甲方损失，乙方应承担直接经济损失赔偿责任等。</w:t>
      </w:r>
    </w:p>
    <w:p w14:paraId="66D6B49D">
      <w:pPr>
        <w:keepNext w:val="0"/>
        <w:keepLines w:val="0"/>
        <w:pageBreakBefore w:val="0"/>
        <w:widowControl w:val="0"/>
        <w:kinsoku/>
        <w:wordWrap/>
        <w:overflowPunct/>
        <w:topLinePunct w:val="0"/>
        <w:autoSpaceDE/>
        <w:autoSpaceDN/>
        <w:bidi w:val="0"/>
        <w:spacing w:line="420" w:lineRule="exact"/>
        <w:textAlignment w:val="auto"/>
        <w:rPr>
          <w:rFonts w:ascii="宋体" w:hAnsi="宋体"/>
          <w:b/>
          <w:color w:val="auto"/>
          <w:sz w:val="24"/>
        </w:rPr>
      </w:pPr>
      <w:r>
        <w:rPr>
          <w:rFonts w:hint="eastAsia" w:ascii="宋体" w:hAnsi="宋体"/>
          <w:b/>
          <w:color w:val="auto"/>
          <w:sz w:val="24"/>
        </w:rPr>
        <w:t>五、其他约定</w:t>
      </w:r>
    </w:p>
    <w:p w14:paraId="0B3A4251">
      <w:pPr>
        <w:keepNext w:val="0"/>
        <w:keepLines w:val="0"/>
        <w:pageBreakBefore w:val="0"/>
        <w:widowControl w:val="0"/>
        <w:shd w:val="clear" w:color="auto" w:fill="FFFFFF"/>
        <w:kinsoku/>
        <w:wordWrap/>
        <w:overflowPunct/>
        <w:topLinePunct w:val="0"/>
        <w:autoSpaceDE/>
        <w:autoSpaceDN/>
        <w:bidi w:val="0"/>
        <w:adjustRightInd w:val="0"/>
        <w:snapToGrid w:val="0"/>
        <w:spacing w:line="420" w:lineRule="exact"/>
        <w:ind w:firstLine="480" w:firstLineChars="200"/>
        <w:jc w:val="left"/>
        <w:textAlignment w:val="auto"/>
        <w:rPr>
          <w:rFonts w:ascii="宋体" w:hAnsi="宋体"/>
          <w:color w:val="auto"/>
          <w:sz w:val="24"/>
        </w:rPr>
      </w:pPr>
      <w:r>
        <w:rPr>
          <w:rFonts w:hint="eastAsia" w:ascii="宋体" w:hAnsi="宋体"/>
          <w:color w:val="auto"/>
          <w:sz w:val="24"/>
        </w:rPr>
        <w:t>1.乙方须在甲方书面通知乙方</w:t>
      </w:r>
      <w:r>
        <w:rPr>
          <w:rFonts w:hint="eastAsia" w:ascii="宋体" w:hAnsi="宋体"/>
          <w:color w:val="auto"/>
          <w:sz w:val="24"/>
          <w:lang w:val="en-US" w:eastAsia="zh-CN"/>
        </w:rPr>
        <w:t>供货</w:t>
      </w:r>
      <w:r>
        <w:rPr>
          <w:rFonts w:hint="eastAsia" w:ascii="宋体" w:hAnsi="宋体"/>
          <w:color w:val="auto"/>
          <w:sz w:val="24"/>
        </w:rPr>
        <w:t>后30个日历天内完成本项目。若乙方不能按时供货及安装，每逾期一天，甲方从应付总款中扣除</w:t>
      </w:r>
      <w:bookmarkStart w:id="0" w:name="_Hlk195191729"/>
      <w:r>
        <w:rPr>
          <w:rFonts w:hint="eastAsia" w:ascii="宋体" w:hAnsi="宋体"/>
          <w:color w:val="auto"/>
          <w:sz w:val="24"/>
        </w:rPr>
        <w:t>5‰</w:t>
      </w:r>
      <w:bookmarkEnd w:id="0"/>
      <w:r>
        <w:rPr>
          <w:rFonts w:hint="eastAsia" w:ascii="宋体" w:hAnsi="宋体"/>
          <w:color w:val="auto"/>
          <w:sz w:val="24"/>
        </w:rPr>
        <w:t>作为违约金，总额不得超过合同金额的10%，拖延交付期限达7日历天以上的，甲方有权单方解除本合同并扣除履约保证金，并保留进一步追究乙方法律责任的权利。</w:t>
      </w:r>
    </w:p>
    <w:p w14:paraId="0D2511D1">
      <w:pPr>
        <w:keepNext w:val="0"/>
        <w:keepLines w:val="0"/>
        <w:pageBreakBefore w:val="0"/>
        <w:widowControl w:val="0"/>
        <w:shd w:val="clear" w:color="auto" w:fill="FFFFFF"/>
        <w:kinsoku/>
        <w:wordWrap/>
        <w:overflowPunct/>
        <w:topLinePunct w:val="0"/>
        <w:autoSpaceDE/>
        <w:autoSpaceDN/>
        <w:bidi w:val="0"/>
        <w:adjustRightInd w:val="0"/>
        <w:snapToGrid w:val="0"/>
        <w:spacing w:line="420" w:lineRule="exact"/>
        <w:ind w:firstLine="480" w:firstLineChars="200"/>
        <w:jc w:val="left"/>
        <w:textAlignment w:val="auto"/>
        <w:rPr>
          <w:rFonts w:hint="eastAsia" w:ascii="宋体" w:hAnsi="宋体"/>
          <w:color w:val="auto"/>
          <w:sz w:val="24"/>
        </w:rPr>
      </w:pPr>
      <w:r>
        <w:rPr>
          <w:rFonts w:hint="eastAsia" w:ascii="宋体" w:hAnsi="宋体"/>
          <w:color w:val="auto"/>
          <w:sz w:val="24"/>
        </w:rPr>
        <w:t>2.</w:t>
      </w:r>
      <w:r>
        <w:rPr>
          <w:rFonts w:hint="eastAsia"/>
          <w:color w:val="auto"/>
        </w:rPr>
        <w:t xml:space="preserve"> </w:t>
      </w:r>
      <w:r>
        <w:rPr>
          <w:rFonts w:hint="eastAsia" w:ascii="宋体" w:hAnsi="宋体"/>
          <w:color w:val="auto"/>
          <w:sz w:val="24"/>
        </w:rPr>
        <w:t>本项目收取</w:t>
      </w:r>
      <w:r>
        <w:rPr>
          <w:rFonts w:hint="eastAsia" w:ascii="宋体" w:hAnsi="宋体"/>
          <w:color w:val="auto"/>
          <w:sz w:val="24"/>
          <w:lang w:val="en-US" w:eastAsia="zh-CN"/>
        </w:rPr>
        <w:t>40</w:t>
      </w:r>
      <w:r>
        <w:rPr>
          <w:rFonts w:hint="eastAsia" w:ascii="宋体" w:hAnsi="宋体"/>
          <w:color w:val="auto"/>
          <w:sz w:val="24"/>
        </w:rPr>
        <w:t>00.00元履约保证金。</w:t>
      </w:r>
      <w:r>
        <w:rPr>
          <w:rFonts w:hint="eastAsia" w:ascii="宋体" w:hAnsi="宋体"/>
          <w:color w:val="auto"/>
          <w:sz w:val="24"/>
          <w:lang w:val="en-US" w:eastAsia="zh-CN"/>
        </w:rPr>
        <w:t>项目验收合格后履约保证金一次性无息退还中标单位。中标单位因利润等原因弃标，履约保证金不予退还。（遇法定假期及学校寒暑假则最迟付款时间顺延）。</w:t>
      </w:r>
    </w:p>
    <w:p w14:paraId="54FD331B">
      <w:pPr>
        <w:keepNext w:val="0"/>
        <w:keepLines w:val="0"/>
        <w:pageBreakBefore w:val="0"/>
        <w:widowControl w:val="0"/>
        <w:shd w:val="clear" w:color="auto" w:fill="FFFFFF"/>
        <w:kinsoku/>
        <w:wordWrap/>
        <w:overflowPunct/>
        <w:topLinePunct w:val="0"/>
        <w:autoSpaceDE/>
        <w:autoSpaceDN/>
        <w:bidi w:val="0"/>
        <w:adjustRightInd w:val="0"/>
        <w:snapToGrid w:val="0"/>
        <w:spacing w:line="420" w:lineRule="exact"/>
        <w:ind w:firstLine="480" w:firstLineChars="200"/>
        <w:jc w:val="left"/>
        <w:textAlignment w:val="auto"/>
        <w:rPr>
          <w:rFonts w:hint="eastAsia" w:ascii="宋体" w:hAnsi="宋体" w:cs="宋体"/>
          <w:color w:val="auto"/>
          <w:sz w:val="24"/>
          <w:highlight w:val="none"/>
          <w:lang w:val="en-US" w:eastAsia="zh-CN"/>
        </w:rPr>
      </w:pPr>
      <w:r>
        <w:rPr>
          <w:rFonts w:hint="eastAsia" w:ascii="宋体" w:hAnsi="宋体"/>
          <w:color w:val="auto"/>
          <w:sz w:val="24"/>
          <w:lang w:val="en-US" w:eastAsia="zh-CN"/>
        </w:rPr>
        <w:t>3.乙方</w:t>
      </w:r>
      <w:r>
        <w:rPr>
          <w:rFonts w:hint="eastAsia" w:ascii="宋体" w:hAnsi="宋体" w:eastAsia="宋体" w:cs="宋体"/>
          <w:color w:val="auto"/>
          <w:sz w:val="24"/>
          <w:highlight w:val="none"/>
          <w:lang w:val="en-US" w:eastAsia="zh-CN"/>
        </w:rPr>
        <w:t>根据</w:t>
      </w:r>
      <w:r>
        <w:rPr>
          <w:rFonts w:hint="eastAsia" w:ascii="宋体" w:hAnsi="宋体" w:cs="宋体"/>
          <w:color w:val="auto"/>
          <w:sz w:val="24"/>
          <w:highlight w:val="none"/>
          <w:lang w:val="en-US" w:eastAsia="zh-CN"/>
        </w:rPr>
        <w:t>甲方</w:t>
      </w:r>
      <w:r>
        <w:rPr>
          <w:rFonts w:hint="eastAsia" w:ascii="宋体" w:hAnsi="宋体" w:eastAsia="宋体" w:cs="宋体"/>
          <w:color w:val="auto"/>
          <w:sz w:val="24"/>
          <w:highlight w:val="none"/>
          <w:lang w:val="en-US" w:eastAsia="zh-CN"/>
        </w:rPr>
        <w:t>需求按双人位、四人位、六人位或八人位等规格</w:t>
      </w:r>
      <w:r>
        <w:rPr>
          <w:rFonts w:hint="eastAsia" w:ascii="宋体" w:hAnsi="宋体" w:cs="宋体"/>
          <w:color w:val="auto"/>
          <w:sz w:val="24"/>
          <w:highlight w:val="none"/>
          <w:lang w:val="en-US" w:eastAsia="zh-CN"/>
        </w:rPr>
        <w:t>对集体办公位</w:t>
      </w:r>
      <w:r>
        <w:rPr>
          <w:rFonts w:hint="eastAsia" w:ascii="宋体" w:hAnsi="宋体" w:eastAsia="宋体" w:cs="宋体"/>
          <w:color w:val="auto"/>
          <w:sz w:val="24"/>
          <w:highlight w:val="none"/>
          <w:lang w:val="en-US" w:eastAsia="zh-CN"/>
        </w:rPr>
        <w:t>进行组装</w:t>
      </w:r>
      <w:r>
        <w:rPr>
          <w:rFonts w:hint="eastAsia" w:ascii="宋体" w:hAnsi="宋体" w:cs="宋体"/>
          <w:color w:val="auto"/>
          <w:sz w:val="24"/>
          <w:highlight w:val="none"/>
          <w:lang w:val="en-US" w:eastAsia="zh-CN"/>
        </w:rPr>
        <w:t>。</w:t>
      </w:r>
    </w:p>
    <w:p w14:paraId="02F5D304">
      <w:pPr>
        <w:pStyle w:val="2"/>
        <w:keepNext w:val="0"/>
        <w:keepLines w:val="0"/>
        <w:pageBreakBefore w:val="0"/>
        <w:widowControl w:val="0"/>
        <w:kinsoku/>
        <w:wordWrap/>
        <w:overflowPunct/>
        <w:topLinePunct w:val="0"/>
        <w:autoSpaceDE/>
        <w:autoSpaceDN/>
        <w:bidi w:val="0"/>
        <w:adjustRightInd/>
        <w:snapToGrid/>
        <w:ind w:left="0" w:leftChars="0" w:firstLine="480" w:firstLineChars="200"/>
        <w:textAlignment w:val="auto"/>
        <w:rPr>
          <w:rFonts w:hint="default"/>
          <w:lang w:val="en-US" w:eastAsia="zh-CN"/>
        </w:rPr>
      </w:pPr>
      <w:r>
        <w:rPr>
          <w:rFonts w:hint="eastAsia" w:ascii="宋体" w:hAnsi="宋体" w:cs="宋体"/>
          <w:color w:val="auto"/>
          <w:sz w:val="24"/>
          <w:highlight w:val="none"/>
          <w:lang w:val="en-US" w:eastAsia="zh-CN"/>
        </w:rPr>
        <w:t>4.乙方根据甲方需求对办公桌椅、档案柜、货架进行配送及安装。</w:t>
      </w:r>
    </w:p>
    <w:p w14:paraId="5D5CACC5">
      <w:pPr>
        <w:keepNext w:val="0"/>
        <w:keepLines w:val="0"/>
        <w:pageBreakBefore w:val="0"/>
        <w:widowControl w:val="0"/>
        <w:kinsoku/>
        <w:wordWrap/>
        <w:overflowPunct/>
        <w:topLinePunct w:val="0"/>
        <w:autoSpaceDE/>
        <w:autoSpaceDN/>
        <w:bidi w:val="0"/>
        <w:spacing w:line="420" w:lineRule="exact"/>
        <w:textAlignment w:val="auto"/>
        <w:rPr>
          <w:rFonts w:hint="eastAsia" w:ascii="宋体" w:hAnsi="宋体"/>
          <w:b/>
          <w:bCs/>
          <w:color w:val="auto"/>
          <w:sz w:val="24"/>
        </w:rPr>
      </w:pPr>
      <w:r>
        <w:rPr>
          <w:rFonts w:hint="eastAsia" w:ascii="宋体" w:hAnsi="宋体"/>
          <w:b/>
          <w:bCs/>
          <w:color w:val="auto"/>
          <w:sz w:val="24"/>
        </w:rPr>
        <w:t>六、验收与付款：</w:t>
      </w:r>
    </w:p>
    <w:p w14:paraId="6C0539F3">
      <w:pPr>
        <w:spacing w:line="360" w:lineRule="auto"/>
        <w:ind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rPr>
        <w:t>甲方应当在乙方提交验收申请后30个工作日内组织相关人员进行验收，但因甲方不可归责的客观原因（包括不可抗力、法定假期、学校寒暑假或其他合理原因）导致无法按期验收的除外</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甲方应及时书面通知乙方，双方协商顺延验收时间。</w:t>
      </w:r>
      <w:r>
        <w:rPr>
          <w:rFonts w:hint="eastAsia" w:ascii="宋体" w:hAnsi="宋体" w:eastAsia="宋体" w:cs="宋体"/>
          <w:color w:val="auto"/>
          <w:sz w:val="24"/>
          <w:highlight w:val="none"/>
          <w:lang w:val="en-US" w:eastAsia="zh-CN"/>
        </w:rPr>
        <w:t>乙方在验收合格后10个工作日内开具正式发票，收到乙方发票后30个工作日内甲方以转账方式向乙方支付合同总金额的97%，剩余3%待质保期结束后无违约、无质量问题或承担保修责任后一次性付清。（遇法定假期及学校寒暑假则最迟付款时间顺延）。</w:t>
      </w:r>
    </w:p>
    <w:p w14:paraId="3809C6E2">
      <w:pPr>
        <w:spacing w:line="360" w:lineRule="auto"/>
        <w:ind w:firstLine="480" w:firstLineChars="200"/>
        <w:rPr>
          <w:rFonts w:hint="eastAsia" w:ascii="宋体" w:hAnsi="宋体"/>
          <w:color w:val="auto"/>
          <w:sz w:val="24"/>
        </w:rPr>
      </w:pPr>
      <w:r>
        <w:rPr>
          <w:rFonts w:hint="eastAsia" w:ascii="宋体" w:hAnsi="宋体" w:eastAsia="宋体" w:cs="宋体"/>
          <w:color w:val="auto"/>
          <w:sz w:val="24"/>
          <w:highlight w:val="none"/>
          <w:lang w:val="en-US" w:eastAsia="zh-CN"/>
        </w:rPr>
        <w:t>家具安装完成后将抽取一间做环境检测，甲醛释放量≤0.5mg/L，检测费用由</w:t>
      </w:r>
      <w:r>
        <w:rPr>
          <w:rFonts w:hint="eastAsia" w:ascii="宋体" w:hAnsi="宋体" w:cs="宋体"/>
          <w:color w:val="auto"/>
          <w:sz w:val="24"/>
          <w:highlight w:val="none"/>
          <w:lang w:val="en-US" w:eastAsia="zh-CN"/>
        </w:rPr>
        <w:t>乙方</w:t>
      </w:r>
      <w:r>
        <w:rPr>
          <w:rFonts w:hint="eastAsia" w:ascii="宋体" w:hAnsi="宋体" w:eastAsia="宋体" w:cs="宋体"/>
          <w:color w:val="auto"/>
          <w:sz w:val="24"/>
          <w:highlight w:val="none"/>
          <w:lang w:val="en-US" w:eastAsia="zh-CN"/>
        </w:rPr>
        <w:t>承担。</w:t>
      </w:r>
      <w:r>
        <w:rPr>
          <w:rFonts w:hint="eastAsia" w:ascii="宋体" w:hAnsi="宋体" w:eastAsia="宋体" w:cs="宋体"/>
          <w:color w:val="auto"/>
          <w:sz w:val="24"/>
          <w:highlight w:val="none"/>
        </w:rPr>
        <w:t>若验收不合格，乙方应及时对</w:t>
      </w:r>
      <w:r>
        <w:rPr>
          <w:rFonts w:hint="eastAsia" w:ascii="宋体" w:hAnsi="宋体" w:eastAsia="宋体" w:cs="宋体"/>
          <w:color w:val="auto"/>
          <w:sz w:val="24"/>
          <w:highlight w:val="none"/>
          <w:lang w:val="en-US" w:eastAsia="zh-CN"/>
        </w:rPr>
        <w:t>产品</w:t>
      </w:r>
      <w:r>
        <w:rPr>
          <w:rFonts w:hint="eastAsia" w:ascii="宋体" w:hAnsi="宋体" w:eastAsia="宋体" w:cs="宋体"/>
          <w:color w:val="auto"/>
          <w:sz w:val="24"/>
          <w:highlight w:val="none"/>
        </w:rPr>
        <w:t>采取更换等补救措施。视乙方违约严重程度，甲方有权要求乙方另行支付不合格产品价格20%的违约金，并有权解除合同。如果对产品质量有争议，由双方共同认可的具有相关资质的质量技术监督部门作为最终决定检验机构。检验符合要求，由甲方承担检验费用，否则由乙方承担。</w:t>
      </w:r>
    </w:p>
    <w:p w14:paraId="5F07DBF2">
      <w:pPr>
        <w:keepNext w:val="0"/>
        <w:keepLines w:val="0"/>
        <w:pageBreakBefore w:val="0"/>
        <w:widowControl w:val="0"/>
        <w:kinsoku/>
        <w:wordWrap/>
        <w:overflowPunct/>
        <w:topLinePunct w:val="0"/>
        <w:autoSpaceDE/>
        <w:autoSpaceDN/>
        <w:bidi w:val="0"/>
        <w:spacing w:line="420" w:lineRule="exact"/>
        <w:textAlignment w:val="auto"/>
        <w:rPr>
          <w:rFonts w:hint="eastAsia" w:ascii="宋体" w:hAnsi="宋体"/>
          <w:b/>
          <w:bCs/>
          <w:color w:val="auto"/>
          <w:sz w:val="24"/>
        </w:rPr>
      </w:pPr>
      <w:r>
        <w:rPr>
          <w:rFonts w:hint="eastAsia" w:ascii="宋体" w:hAnsi="宋体"/>
          <w:b/>
          <w:bCs/>
          <w:color w:val="auto"/>
          <w:sz w:val="24"/>
        </w:rPr>
        <w:t>七、</w:t>
      </w:r>
      <w:r>
        <w:rPr>
          <w:rFonts w:hint="eastAsia" w:ascii="宋体" w:hAnsi="宋体"/>
          <w:color w:val="auto"/>
          <w:sz w:val="24"/>
        </w:rPr>
        <w:t>双方约定，因不可抗因素（如火灾、地震、雷击等）而造成的违约不扣除相关的违约金。</w:t>
      </w:r>
    </w:p>
    <w:p w14:paraId="547950CC">
      <w:pPr>
        <w:keepNext w:val="0"/>
        <w:keepLines w:val="0"/>
        <w:pageBreakBefore w:val="0"/>
        <w:widowControl w:val="0"/>
        <w:kinsoku/>
        <w:wordWrap/>
        <w:overflowPunct/>
        <w:topLinePunct w:val="0"/>
        <w:autoSpaceDE/>
        <w:autoSpaceDN/>
        <w:bidi w:val="0"/>
        <w:spacing w:line="420" w:lineRule="exact"/>
        <w:textAlignment w:val="auto"/>
        <w:rPr>
          <w:rFonts w:hint="eastAsia" w:ascii="宋体" w:hAnsi="宋体"/>
          <w:b/>
          <w:bCs/>
          <w:color w:val="auto"/>
          <w:sz w:val="24"/>
        </w:rPr>
      </w:pPr>
      <w:r>
        <w:rPr>
          <w:rFonts w:hint="eastAsia" w:ascii="宋体" w:hAnsi="宋体"/>
          <w:b/>
          <w:bCs/>
          <w:color w:val="auto"/>
          <w:sz w:val="24"/>
        </w:rPr>
        <w:t>八、</w:t>
      </w:r>
      <w:r>
        <w:rPr>
          <w:rFonts w:hint="eastAsia" w:ascii="宋体" w:hAnsi="宋体"/>
          <w:color w:val="auto"/>
          <w:sz w:val="24"/>
        </w:rPr>
        <w:t>合同生效后，双方不得随意解除合同。单方解除合同的，应向对方支付货款总额20%作为违约金。</w:t>
      </w:r>
    </w:p>
    <w:p w14:paraId="7F4B64C9">
      <w:pPr>
        <w:keepNext w:val="0"/>
        <w:keepLines w:val="0"/>
        <w:pageBreakBefore w:val="0"/>
        <w:widowControl w:val="0"/>
        <w:kinsoku/>
        <w:wordWrap/>
        <w:overflowPunct/>
        <w:topLinePunct w:val="0"/>
        <w:autoSpaceDE/>
        <w:autoSpaceDN/>
        <w:bidi w:val="0"/>
        <w:spacing w:line="420" w:lineRule="exact"/>
        <w:textAlignment w:val="auto"/>
        <w:rPr>
          <w:rFonts w:hint="eastAsia" w:ascii="宋体" w:hAnsi="宋体"/>
          <w:b/>
          <w:bCs/>
          <w:color w:val="auto"/>
          <w:sz w:val="24"/>
        </w:rPr>
      </w:pPr>
      <w:r>
        <w:rPr>
          <w:rFonts w:hint="eastAsia" w:ascii="宋体" w:hAnsi="宋体"/>
          <w:b/>
          <w:bCs/>
          <w:color w:val="auto"/>
          <w:sz w:val="24"/>
        </w:rPr>
        <w:t>九、</w:t>
      </w:r>
      <w:r>
        <w:rPr>
          <w:rFonts w:hint="eastAsia" w:ascii="宋体" w:hAnsi="宋体"/>
          <w:color w:val="auto"/>
          <w:sz w:val="24"/>
        </w:rPr>
        <w:t>因本合同产生的一切纠纷双方约定由甲方所在地法院管辖受理。</w:t>
      </w:r>
    </w:p>
    <w:p w14:paraId="7DC32D91">
      <w:pPr>
        <w:keepNext w:val="0"/>
        <w:keepLines w:val="0"/>
        <w:pageBreakBefore w:val="0"/>
        <w:widowControl w:val="0"/>
        <w:shd w:val="clear" w:color="auto" w:fill="FFFFFF"/>
        <w:kinsoku/>
        <w:wordWrap/>
        <w:overflowPunct/>
        <w:topLinePunct w:val="0"/>
        <w:autoSpaceDE/>
        <w:autoSpaceDN/>
        <w:bidi w:val="0"/>
        <w:adjustRightInd w:val="0"/>
        <w:snapToGrid w:val="0"/>
        <w:spacing w:line="420" w:lineRule="exact"/>
        <w:jc w:val="left"/>
        <w:textAlignment w:val="auto"/>
        <w:rPr>
          <w:rFonts w:ascii="宋体" w:hAnsi="宋体"/>
          <w:color w:val="auto"/>
          <w:sz w:val="24"/>
        </w:rPr>
      </w:pPr>
      <w:r>
        <w:rPr>
          <w:rFonts w:hint="eastAsia" w:ascii="宋体" w:hAnsi="宋体"/>
          <w:b/>
          <w:bCs/>
          <w:color w:val="auto"/>
          <w:sz w:val="24"/>
        </w:rPr>
        <w:t>十、</w:t>
      </w:r>
      <w:r>
        <w:rPr>
          <w:rFonts w:hint="eastAsia" w:ascii="宋体" w:hAnsi="宋体"/>
          <w:color w:val="auto"/>
          <w:sz w:val="24"/>
        </w:rPr>
        <w:t>本合同一式伍份，甲方叁份，乙方贰份，双方签字盖章后具有同等法律效力。</w:t>
      </w:r>
    </w:p>
    <w:p w14:paraId="10B6D251">
      <w:pPr>
        <w:keepNext w:val="0"/>
        <w:keepLines w:val="0"/>
        <w:pageBreakBefore w:val="0"/>
        <w:widowControl w:val="0"/>
        <w:shd w:val="clear" w:color="auto" w:fill="FFFFFF"/>
        <w:kinsoku/>
        <w:wordWrap/>
        <w:overflowPunct/>
        <w:topLinePunct w:val="0"/>
        <w:autoSpaceDE/>
        <w:autoSpaceDN/>
        <w:bidi w:val="0"/>
        <w:adjustRightInd w:val="0"/>
        <w:snapToGrid w:val="0"/>
        <w:spacing w:line="420" w:lineRule="exact"/>
        <w:jc w:val="left"/>
        <w:textAlignment w:val="auto"/>
        <w:rPr>
          <w:rFonts w:ascii="宋体" w:hAnsi="宋体"/>
          <w:color w:val="auto"/>
          <w:sz w:val="24"/>
        </w:rPr>
      </w:pPr>
    </w:p>
    <w:p w14:paraId="0BA30FEC">
      <w:pPr>
        <w:keepNext w:val="0"/>
        <w:keepLines w:val="0"/>
        <w:pageBreakBefore w:val="0"/>
        <w:widowControl w:val="0"/>
        <w:tabs>
          <w:tab w:val="left" w:pos="5400"/>
        </w:tabs>
        <w:kinsoku/>
        <w:wordWrap/>
        <w:overflowPunct/>
        <w:topLinePunct w:val="0"/>
        <w:autoSpaceDE/>
        <w:autoSpaceDN/>
        <w:bidi w:val="0"/>
        <w:spacing w:line="420" w:lineRule="exact"/>
        <w:textAlignment w:val="auto"/>
        <w:rPr>
          <w:rFonts w:ascii="宋体" w:hAnsi="宋体"/>
          <w:color w:val="auto"/>
          <w:sz w:val="24"/>
        </w:rPr>
      </w:pPr>
      <w:r>
        <w:rPr>
          <w:rFonts w:hint="eastAsia" w:ascii="宋体" w:hAnsi="宋体"/>
          <w:color w:val="auto"/>
          <w:sz w:val="24"/>
        </w:rPr>
        <w:t xml:space="preserve">甲方：芜湖学院                        乙方：   </w:t>
      </w:r>
    </w:p>
    <w:p w14:paraId="349C2BDC">
      <w:pPr>
        <w:keepNext w:val="0"/>
        <w:keepLines w:val="0"/>
        <w:pageBreakBefore w:val="0"/>
        <w:widowControl w:val="0"/>
        <w:tabs>
          <w:tab w:val="left" w:pos="5400"/>
        </w:tabs>
        <w:kinsoku/>
        <w:wordWrap/>
        <w:overflowPunct/>
        <w:topLinePunct w:val="0"/>
        <w:autoSpaceDE/>
        <w:autoSpaceDN/>
        <w:bidi w:val="0"/>
        <w:spacing w:line="420" w:lineRule="exact"/>
        <w:textAlignment w:val="auto"/>
        <w:rPr>
          <w:rFonts w:hint="eastAsia" w:ascii="宋体" w:hAnsi="宋体"/>
          <w:color w:val="auto"/>
          <w:sz w:val="24"/>
        </w:rPr>
      </w:pPr>
      <w:r>
        <w:rPr>
          <w:rFonts w:hint="eastAsia" w:ascii="宋体" w:hAnsi="宋体"/>
          <w:color w:val="auto"/>
          <w:sz w:val="24"/>
        </w:rPr>
        <w:t>单位名称（盖章）：                    单位名称（盖章）：</w:t>
      </w:r>
    </w:p>
    <w:p w14:paraId="4D89306F">
      <w:pPr>
        <w:keepNext w:val="0"/>
        <w:keepLines w:val="0"/>
        <w:pageBreakBefore w:val="0"/>
        <w:widowControl w:val="0"/>
        <w:tabs>
          <w:tab w:val="left" w:pos="4875"/>
        </w:tabs>
        <w:kinsoku/>
        <w:wordWrap/>
        <w:overflowPunct/>
        <w:topLinePunct w:val="0"/>
        <w:autoSpaceDE/>
        <w:autoSpaceDN/>
        <w:bidi w:val="0"/>
        <w:spacing w:line="420" w:lineRule="exact"/>
        <w:textAlignment w:val="auto"/>
        <w:rPr>
          <w:rFonts w:hint="eastAsia" w:ascii="宋体" w:hAnsi="宋体"/>
          <w:color w:val="auto"/>
          <w:sz w:val="24"/>
        </w:rPr>
      </w:pPr>
      <w:r>
        <w:rPr>
          <w:rFonts w:hint="eastAsia" w:ascii="宋体" w:hAnsi="宋体"/>
          <w:color w:val="auto"/>
          <w:sz w:val="24"/>
        </w:rPr>
        <w:t>法定代表人或委托经办人：              法定代表人或委托经办人：</w:t>
      </w:r>
    </w:p>
    <w:p w14:paraId="4857DCA4">
      <w:pPr>
        <w:keepNext w:val="0"/>
        <w:keepLines w:val="0"/>
        <w:pageBreakBefore w:val="0"/>
        <w:widowControl w:val="0"/>
        <w:tabs>
          <w:tab w:val="left" w:pos="5400"/>
        </w:tabs>
        <w:kinsoku/>
        <w:wordWrap/>
        <w:overflowPunct/>
        <w:topLinePunct w:val="0"/>
        <w:autoSpaceDE/>
        <w:autoSpaceDN/>
        <w:bidi w:val="0"/>
        <w:spacing w:line="420" w:lineRule="exact"/>
        <w:textAlignment w:val="auto"/>
        <w:rPr>
          <w:rFonts w:hint="eastAsia" w:ascii="宋体" w:hAnsi="宋体"/>
          <w:color w:val="auto"/>
          <w:sz w:val="24"/>
        </w:rPr>
      </w:pPr>
      <w:r>
        <w:rPr>
          <w:rFonts w:hint="eastAsia" w:ascii="宋体" w:hAnsi="宋体"/>
          <w:color w:val="auto"/>
          <w:sz w:val="24"/>
        </w:rPr>
        <w:t>电话：                                电话：</w:t>
      </w:r>
      <w:r>
        <w:rPr>
          <w:rFonts w:ascii="宋体" w:hAnsi="宋体"/>
          <w:color w:val="auto"/>
          <w:sz w:val="24"/>
        </w:rPr>
        <w:t xml:space="preserve"> </w:t>
      </w:r>
    </w:p>
    <w:p w14:paraId="2B3D01D4">
      <w:pPr>
        <w:keepNext w:val="0"/>
        <w:keepLines w:val="0"/>
        <w:pageBreakBefore w:val="0"/>
        <w:widowControl w:val="0"/>
        <w:kinsoku/>
        <w:wordWrap/>
        <w:overflowPunct/>
        <w:topLinePunct w:val="0"/>
        <w:autoSpaceDE/>
        <w:autoSpaceDN/>
        <w:bidi w:val="0"/>
        <w:spacing w:line="420" w:lineRule="exact"/>
        <w:textAlignment w:val="auto"/>
        <w:rPr>
          <w:rFonts w:hint="eastAsia"/>
          <w:color w:val="auto"/>
          <w:sz w:val="18"/>
          <w:szCs w:val="18"/>
        </w:rPr>
      </w:pPr>
      <w:r>
        <w:rPr>
          <w:rFonts w:hint="eastAsia" w:ascii="宋体" w:hAnsi="宋体"/>
          <w:color w:val="auto"/>
          <w:sz w:val="24"/>
        </w:rPr>
        <w:t>年   月   日                          年  月   日</w:t>
      </w:r>
    </w:p>
    <w:p w14:paraId="3A7B3870">
      <w:pPr>
        <w:spacing w:line="264" w:lineRule="auto"/>
        <w:rPr>
          <w:rFonts w:hint="eastAsia"/>
          <w:color w:val="auto"/>
          <w:sz w:val="18"/>
          <w:szCs w:val="18"/>
        </w:rPr>
      </w:pPr>
    </w:p>
    <w:sectPr>
      <w:headerReference r:id="rId3"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2A80FE">
    <w:pPr>
      <w:pStyle w:val="9"/>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7"/>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JlZWIzMGUzMzJiY2Y2M2Y4ODg4ZDg3ZGE4OTM5MjEifQ=="/>
  </w:docVars>
  <w:rsids>
    <w:rsidRoot w:val="00A57318"/>
    <w:rsid w:val="0000440B"/>
    <w:rsid w:val="000046A4"/>
    <w:rsid w:val="0001634C"/>
    <w:rsid w:val="00026F52"/>
    <w:rsid w:val="000506DC"/>
    <w:rsid w:val="00050743"/>
    <w:rsid w:val="00051230"/>
    <w:rsid w:val="00055549"/>
    <w:rsid w:val="0006685E"/>
    <w:rsid w:val="0008099A"/>
    <w:rsid w:val="00081190"/>
    <w:rsid w:val="00081A7A"/>
    <w:rsid w:val="00085617"/>
    <w:rsid w:val="00091C2F"/>
    <w:rsid w:val="0009405C"/>
    <w:rsid w:val="000C39A9"/>
    <w:rsid w:val="000C6499"/>
    <w:rsid w:val="000F2AAD"/>
    <w:rsid w:val="001064AD"/>
    <w:rsid w:val="00111C4F"/>
    <w:rsid w:val="00114335"/>
    <w:rsid w:val="001312A2"/>
    <w:rsid w:val="00134F80"/>
    <w:rsid w:val="0014408D"/>
    <w:rsid w:val="00155440"/>
    <w:rsid w:val="00173268"/>
    <w:rsid w:val="00186780"/>
    <w:rsid w:val="00195B84"/>
    <w:rsid w:val="001A4793"/>
    <w:rsid w:val="001A4C24"/>
    <w:rsid w:val="001B6D0D"/>
    <w:rsid w:val="001D3970"/>
    <w:rsid w:val="001D702A"/>
    <w:rsid w:val="001D756D"/>
    <w:rsid w:val="001D7695"/>
    <w:rsid w:val="001E6C91"/>
    <w:rsid w:val="001F1BE9"/>
    <w:rsid w:val="001F2C76"/>
    <w:rsid w:val="00207B39"/>
    <w:rsid w:val="0021568D"/>
    <w:rsid w:val="00217447"/>
    <w:rsid w:val="00225CD9"/>
    <w:rsid w:val="002313C2"/>
    <w:rsid w:val="002319E4"/>
    <w:rsid w:val="00240410"/>
    <w:rsid w:val="002476D4"/>
    <w:rsid w:val="002503DC"/>
    <w:rsid w:val="0025328E"/>
    <w:rsid w:val="00266E89"/>
    <w:rsid w:val="002767BD"/>
    <w:rsid w:val="002835D8"/>
    <w:rsid w:val="002842B3"/>
    <w:rsid w:val="00294079"/>
    <w:rsid w:val="00296413"/>
    <w:rsid w:val="00296FF9"/>
    <w:rsid w:val="002A2659"/>
    <w:rsid w:val="002A5546"/>
    <w:rsid w:val="002B7E53"/>
    <w:rsid w:val="002C75F9"/>
    <w:rsid w:val="002D0ADD"/>
    <w:rsid w:val="002D272F"/>
    <w:rsid w:val="002D2885"/>
    <w:rsid w:val="002D59D4"/>
    <w:rsid w:val="002D5F54"/>
    <w:rsid w:val="002E2B8E"/>
    <w:rsid w:val="002E7BA1"/>
    <w:rsid w:val="002F152F"/>
    <w:rsid w:val="00301AC8"/>
    <w:rsid w:val="00320A2D"/>
    <w:rsid w:val="0032405E"/>
    <w:rsid w:val="00326BE3"/>
    <w:rsid w:val="00327A50"/>
    <w:rsid w:val="00330C71"/>
    <w:rsid w:val="00346873"/>
    <w:rsid w:val="003519C7"/>
    <w:rsid w:val="00367C85"/>
    <w:rsid w:val="00372780"/>
    <w:rsid w:val="00375033"/>
    <w:rsid w:val="003775AD"/>
    <w:rsid w:val="003831A2"/>
    <w:rsid w:val="00383FF3"/>
    <w:rsid w:val="00387E63"/>
    <w:rsid w:val="00397E29"/>
    <w:rsid w:val="003B4E45"/>
    <w:rsid w:val="003C158B"/>
    <w:rsid w:val="003D02F2"/>
    <w:rsid w:val="003E6A75"/>
    <w:rsid w:val="003F605D"/>
    <w:rsid w:val="003F765A"/>
    <w:rsid w:val="00400626"/>
    <w:rsid w:val="00402033"/>
    <w:rsid w:val="0040389C"/>
    <w:rsid w:val="00404612"/>
    <w:rsid w:val="00413D9A"/>
    <w:rsid w:val="00424C49"/>
    <w:rsid w:val="0042528C"/>
    <w:rsid w:val="00426A80"/>
    <w:rsid w:val="004321C6"/>
    <w:rsid w:val="0045101B"/>
    <w:rsid w:val="00453C77"/>
    <w:rsid w:val="00462D01"/>
    <w:rsid w:val="00472F93"/>
    <w:rsid w:val="00482ED7"/>
    <w:rsid w:val="004861B0"/>
    <w:rsid w:val="00490CB6"/>
    <w:rsid w:val="004A1819"/>
    <w:rsid w:val="004C0107"/>
    <w:rsid w:val="004C3DDF"/>
    <w:rsid w:val="00517A29"/>
    <w:rsid w:val="005335A3"/>
    <w:rsid w:val="005425B8"/>
    <w:rsid w:val="00544389"/>
    <w:rsid w:val="00550010"/>
    <w:rsid w:val="00591F65"/>
    <w:rsid w:val="00595D75"/>
    <w:rsid w:val="00596416"/>
    <w:rsid w:val="005E3378"/>
    <w:rsid w:val="005F3955"/>
    <w:rsid w:val="006130A6"/>
    <w:rsid w:val="006277C8"/>
    <w:rsid w:val="00627F29"/>
    <w:rsid w:val="00630718"/>
    <w:rsid w:val="006406BE"/>
    <w:rsid w:val="006430E9"/>
    <w:rsid w:val="00643EDF"/>
    <w:rsid w:val="00646694"/>
    <w:rsid w:val="00647E69"/>
    <w:rsid w:val="0065629C"/>
    <w:rsid w:val="006619C9"/>
    <w:rsid w:val="00677CE9"/>
    <w:rsid w:val="00691B5A"/>
    <w:rsid w:val="00691E77"/>
    <w:rsid w:val="00693676"/>
    <w:rsid w:val="006A26C9"/>
    <w:rsid w:val="006A32A6"/>
    <w:rsid w:val="006B1D91"/>
    <w:rsid w:val="006B78A8"/>
    <w:rsid w:val="006C01DF"/>
    <w:rsid w:val="006C11F4"/>
    <w:rsid w:val="006C2C88"/>
    <w:rsid w:val="006D5C2E"/>
    <w:rsid w:val="006D626A"/>
    <w:rsid w:val="006E355D"/>
    <w:rsid w:val="006E465E"/>
    <w:rsid w:val="006F1489"/>
    <w:rsid w:val="006F1C3F"/>
    <w:rsid w:val="006F7C3B"/>
    <w:rsid w:val="00700CA0"/>
    <w:rsid w:val="00704C6B"/>
    <w:rsid w:val="0072142A"/>
    <w:rsid w:val="0074644B"/>
    <w:rsid w:val="00781796"/>
    <w:rsid w:val="00792A19"/>
    <w:rsid w:val="00795D17"/>
    <w:rsid w:val="007A26BD"/>
    <w:rsid w:val="007A3A51"/>
    <w:rsid w:val="007A4CD7"/>
    <w:rsid w:val="007D4488"/>
    <w:rsid w:val="007D4538"/>
    <w:rsid w:val="007D52ED"/>
    <w:rsid w:val="007D5B56"/>
    <w:rsid w:val="00801213"/>
    <w:rsid w:val="00812EA6"/>
    <w:rsid w:val="00836833"/>
    <w:rsid w:val="00842A08"/>
    <w:rsid w:val="00852014"/>
    <w:rsid w:val="008679B1"/>
    <w:rsid w:val="008A5C1D"/>
    <w:rsid w:val="008A6B32"/>
    <w:rsid w:val="008C42B5"/>
    <w:rsid w:val="008D0CDD"/>
    <w:rsid w:val="008F5EDD"/>
    <w:rsid w:val="008F7A0E"/>
    <w:rsid w:val="00900EF4"/>
    <w:rsid w:val="0090466F"/>
    <w:rsid w:val="0090485A"/>
    <w:rsid w:val="009216CD"/>
    <w:rsid w:val="009277D4"/>
    <w:rsid w:val="00927C6A"/>
    <w:rsid w:val="00946CA7"/>
    <w:rsid w:val="0095423A"/>
    <w:rsid w:val="00964DE1"/>
    <w:rsid w:val="00971694"/>
    <w:rsid w:val="00977A39"/>
    <w:rsid w:val="00985474"/>
    <w:rsid w:val="009905AC"/>
    <w:rsid w:val="009A055C"/>
    <w:rsid w:val="009A5E50"/>
    <w:rsid w:val="009B7917"/>
    <w:rsid w:val="009C01CD"/>
    <w:rsid w:val="009C287A"/>
    <w:rsid w:val="009C2F70"/>
    <w:rsid w:val="009C4580"/>
    <w:rsid w:val="009D2EA8"/>
    <w:rsid w:val="009D3DE9"/>
    <w:rsid w:val="009D42B1"/>
    <w:rsid w:val="009E1053"/>
    <w:rsid w:val="009E5495"/>
    <w:rsid w:val="009F20CC"/>
    <w:rsid w:val="009F2680"/>
    <w:rsid w:val="00A024AF"/>
    <w:rsid w:val="00A178F0"/>
    <w:rsid w:val="00A36C62"/>
    <w:rsid w:val="00A42AEE"/>
    <w:rsid w:val="00A468FD"/>
    <w:rsid w:val="00A5489C"/>
    <w:rsid w:val="00A55402"/>
    <w:rsid w:val="00A55C53"/>
    <w:rsid w:val="00A56351"/>
    <w:rsid w:val="00A57318"/>
    <w:rsid w:val="00A60050"/>
    <w:rsid w:val="00A6037B"/>
    <w:rsid w:val="00A61A84"/>
    <w:rsid w:val="00A6256B"/>
    <w:rsid w:val="00A80B0B"/>
    <w:rsid w:val="00A83EDF"/>
    <w:rsid w:val="00A95235"/>
    <w:rsid w:val="00AA05B2"/>
    <w:rsid w:val="00AA0823"/>
    <w:rsid w:val="00AA78D2"/>
    <w:rsid w:val="00AB001A"/>
    <w:rsid w:val="00AB3D6F"/>
    <w:rsid w:val="00AB7F27"/>
    <w:rsid w:val="00AC22FB"/>
    <w:rsid w:val="00AC61A2"/>
    <w:rsid w:val="00AE124B"/>
    <w:rsid w:val="00AF696E"/>
    <w:rsid w:val="00B024F7"/>
    <w:rsid w:val="00B03ADE"/>
    <w:rsid w:val="00B12846"/>
    <w:rsid w:val="00B14C61"/>
    <w:rsid w:val="00B151D1"/>
    <w:rsid w:val="00B161F0"/>
    <w:rsid w:val="00B21FAA"/>
    <w:rsid w:val="00B237D8"/>
    <w:rsid w:val="00B24041"/>
    <w:rsid w:val="00B30008"/>
    <w:rsid w:val="00B40924"/>
    <w:rsid w:val="00B50F59"/>
    <w:rsid w:val="00B56023"/>
    <w:rsid w:val="00B57DA1"/>
    <w:rsid w:val="00B63B03"/>
    <w:rsid w:val="00B86EDB"/>
    <w:rsid w:val="00BA2979"/>
    <w:rsid w:val="00BA572D"/>
    <w:rsid w:val="00BA65BC"/>
    <w:rsid w:val="00BC0EFA"/>
    <w:rsid w:val="00BC3EF4"/>
    <w:rsid w:val="00BC45F1"/>
    <w:rsid w:val="00BC5BF0"/>
    <w:rsid w:val="00BE0B25"/>
    <w:rsid w:val="00BE3669"/>
    <w:rsid w:val="00BE5C9A"/>
    <w:rsid w:val="00BF2E96"/>
    <w:rsid w:val="00C002E7"/>
    <w:rsid w:val="00C126F3"/>
    <w:rsid w:val="00C2760B"/>
    <w:rsid w:val="00C40EB9"/>
    <w:rsid w:val="00C41753"/>
    <w:rsid w:val="00C4278D"/>
    <w:rsid w:val="00C45168"/>
    <w:rsid w:val="00C52ADC"/>
    <w:rsid w:val="00C54EA7"/>
    <w:rsid w:val="00C64663"/>
    <w:rsid w:val="00C65765"/>
    <w:rsid w:val="00C74BFB"/>
    <w:rsid w:val="00C800A2"/>
    <w:rsid w:val="00C83065"/>
    <w:rsid w:val="00CA0671"/>
    <w:rsid w:val="00CA188F"/>
    <w:rsid w:val="00CB6BD3"/>
    <w:rsid w:val="00CC1359"/>
    <w:rsid w:val="00CD1B3E"/>
    <w:rsid w:val="00CD52D2"/>
    <w:rsid w:val="00CD68E6"/>
    <w:rsid w:val="00CE58BC"/>
    <w:rsid w:val="00CE6F80"/>
    <w:rsid w:val="00D06809"/>
    <w:rsid w:val="00D16CED"/>
    <w:rsid w:val="00D24645"/>
    <w:rsid w:val="00D36C55"/>
    <w:rsid w:val="00D42EAC"/>
    <w:rsid w:val="00D5323E"/>
    <w:rsid w:val="00D57EB1"/>
    <w:rsid w:val="00D62A1F"/>
    <w:rsid w:val="00D72EC7"/>
    <w:rsid w:val="00D73890"/>
    <w:rsid w:val="00D83636"/>
    <w:rsid w:val="00D84079"/>
    <w:rsid w:val="00DD181C"/>
    <w:rsid w:val="00DD5D77"/>
    <w:rsid w:val="00DE6E76"/>
    <w:rsid w:val="00E1717D"/>
    <w:rsid w:val="00E20D49"/>
    <w:rsid w:val="00E221D1"/>
    <w:rsid w:val="00E23305"/>
    <w:rsid w:val="00E24F1A"/>
    <w:rsid w:val="00E30FFC"/>
    <w:rsid w:val="00E34B28"/>
    <w:rsid w:val="00E61C1D"/>
    <w:rsid w:val="00E67C99"/>
    <w:rsid w:val="00E70AFA"/>
    <w:rsid w:val="00EA070A"/>
    <w:rsid w:val="00EA42C0"/>
    <w:rsid w:val="00EA55DA"/>
    <w:rsid w:val="00EB2A1A"/>
    <w:rsid w:val="00EB2FFB"/>
    <w:rsid w:val="00EB5399"/>
    <w:rsid w:val="00EC6329"/>
    <w:rsid w:val="00ED1EE1"/>
    <w:rsid w:val="00ED33A6"/>
    <w:rsid w:val="00ED4601"/>
    <w:rsid w:val="00ED53BF"/>
    <w:rsid w:val="00F00ECF"/>
    <w:rsid w:val="00F016F2"/>
    <w:rsid w:val="00F02FDE"/>
    <w:rsid w:val="00F0582B"/>
    <w:rsid w:val="00F20049"/>
    <w:rsid w:val="00F233F2"/>
    <w:rsid w:val="00F23FCA"/>
    <w:rsid w:val="00F276C9"/>
    <w:rsid w:val="00F333FA"/>
    <w:rsid w:val="00F37730"/>
    <w:rsid w:val="00F41BF9"/>
    <w:rsid w:val="00F41FFB"/>
    <w:rsid w:val="00F506C2"/>
    <w:rsid w:val="00F50E25"/>
    <w:rsid w:val="00F51C45"/>
    <w:rsid w:val="00F57310"/>
    <w:rsid w:val="00F61F12"/>
    <w:rsid w:val="00F6273D"/>
    <w:rsid w:val="00F65A60"/>
    <w:rsid w:val="00F67AAF"/>
    <w:rsid w:val="00F705B8"/>
    <w:rsid w:val="00F8133A"/>
    <w:rsid w:val="00F87B3B"/>
    <w:rsid w:val="00F96F2A"/>
    <w:rsid w:val="00FA2EB7"/>
    <w:rsid w:val="00FA6A83"/>
    <w:rsid w:val="00FD064D"/>
    <w:rsid w:val="00FD2110"/>
    <w:rsid w:val="00FE2810"/>
    <w:rsid w:val="00FE4886"/>
    <w:rsid w:val="03656D5A"/>
    <w:rsid w:val="099966A5"/>
    <w:rsid w:val="0B5E6F36"/>
    <w:rsid w:val="0E5B4EE7"/>
    <w:rsid w:val="1A4B4D67"/>
    <w:rsid w:val="1B7673D4"/>
    <w:rsid w:val="1E9C3204"/>
    <w:rsid w:val="1EC2624D"/>
    <w:rsid w:val="1FDD67A4"/>
    <w:rsid w:val="202669B6"/>
    <w:rsid w:val="25C00477"/>
    <w:rsid w:val="2B17696F"/>
    <w:rsid w:val="2E5D18E9"/>
    <w:rsid w:val="3184660C"/>
    <w:rsid w:val="34795BEE"/>
    <w:rsid w:val="3FB42A4F"/>
    <w:rsid w:val="4B7D3906"/>
    <w:rsid w:val="4BB74719"/>
    <w:rsid w:val="4BE61524"/>
    <w:rsid w:val="4ECA0049"/>
    <w:rsid w:val="53CA49C4"/>
    <w:rsid w:val="548F6B63"/>
    <w:rsid w:val="56327C6C"/>
    <w:rsid w:val="566503BC"/>
    <w:rsid w:val="5824245E"/>
    <w:rsid w:val="58F24313"/>
    <w:rsid w:val="5BF60AE3"/>
    <w:rsid w:val="5C4D0135"/>
    <w:rsid w:val="5FF437B1"/>
    <w:rsid w:val="600357A2"/>
    <w:rsid w:val="60786CF1"/>
    <w:rsid w:val="61F55FA7"/>
    <w:rsid w:val="66D660C9"/>
    <w:rsid w:val="67B35A35"/>
    <w:rsid w:val="685E1427"/>
    <w:rsid w:val="6A8841A6"/>
    <w:rsid w:val="6AC20392"/>
    <w:rsid w:val="6D015380"/>
    <w:rsid w:val="70DD111C"/>
    <w:rsid w:val="74404234"/>
    <w:rsid w:val="7A1077F8"/>
    <w:rsid w:val="7ACC2F08"/>
    <w:rsid w:val="7AFD050A"/>
    <w:rsid w:val="7C360692"/>
    <w:rsid w:val="7E9C0B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qFormat="1" w:unhideWhenUsed="0" w:uiPriority="99"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5">
    <w:name w:val="heading 2"/>
    <w:basedOn w:val="1"/>
    <w:next w:val="1"/>
    <w:qFormat/>
    <w:uiPriority w:val="0"/>
    <w:pPr>
      <w:keepNext/>
      <w:keepLines/>
      <w:spacing w:before="160" w:after="80"/>
      <w:outlineLvl w:val="1"/>
    </w:pPr>
    <w:rPr>
      <w:rFonts w:ascii="Cambria" w:hAnsi="Cambria"/>
      <w:color w:val="366091"/>
      <w:sz w:val="40"/>
      <w:szCs w:val="40"/>
    </w:rPr>
  </w:style>
  <w:style w:type="character" w:default="1" w:styleId="12">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2">
    <w:name w:val="Body Text First Indent 2"/>
    <w:basedOn w:val="3"/>
    <w:next w:val="1"/>
    <w:qFormat/>
    <w:uiPriority w:val="0"/>
    <w:pPr>
      <w:ind w:left="420" w:firstLine="420" w:firstLineChars="200"/>
    </w:pPr>
  </w:style>
  <w:style w:type="paragraph" w:styleId="3">
    <w:name w:val="Body Text Indent"/>
    <w:basedOn w:val="1"/>
    <w:next w:val="4"/>
    <w:qFormat/>
    <w:uiPriority w:val="0"/>
    <w:pPr>
      <w:spacing w:after="120"/>
      <w:ind w:left="200" w:leftChars="200"/>
    </w:pPr>
  </w:style>
  <w:style w:type="paragraph" w:styleId="4">
    <w:name w:val="envelope return"/>
    <w:basedOn w:val="1"/>
    <w:qFormat/>
    <w:uiPriority w:val="0"/>
    <w:pPr>
      <w:snapToGrid w:val="0"/>
    </w:pPr>
    <w:rPr>
      <w:rFonts w:ascii="Arial" w:hAnsi="Arial"/>
    </w:rPr>
  </w:style>
  <w:style w:type="paragraph" w:styleId="6">
    <w:name w:val="index 4"/>
    <w:basedOn w:val="1"/>
    <w:next w:val="1"/>
    <w:qFormat/>
    <w:uiPriority w:val="99"/>
    <w:pPr>
      <w:ind w:left="600" w:leftChars="600"/>
    </w:pPr>
    <w:rPr>
      <w:szCs w:val="24"/>
    </w:rPr>
  </w:style>
  <w:style w:type="paragraph" w:styleId="7">
    <w:name w:val="Balloon Text"/>
    <w:basedOn w:val="1"/>
    <w:semiHidden/>
    <w:qFormat/>
    <w:uiPriority w:val="0"/>
    <w:rPr>
      <w:sz w:val="18"/>
      <w:szCs w:val="18"/>
    </w:rPr>
  </w:style>
  <w:style w:type="paragraph" w:styleId="8">
    <w:name w:val="footer"/>
    <w:basedOn w:val="1"/>
    <w:link w:val="14"/>
    <w:qFormat/>
    <w:uiPriority w:val="0"/>
    <w:pPr>
      <w:tabs>
        <w:tab w:val="center" w:pos="4153"/>
        <w:tab w:val="right" w:pos="8306"/>
      </w:tabs>
      <w:snapToGrid w:val="0"/>
      <w:jc w:val="left"/>
    </w:pPr>
    <w:rPr>
      <w:sz w:val="18"/>
      <w:szCs w:val="18"/>
    </w:rPr>
  </w:style>
  <w:style w:type="paragraph" w:styleId="9">
    <w:name w:val="header"/>
    <w:basedOn w:val="1"/>
    <w:link w:val="15"/>
    <w:qFormat/>
    <w:uiPriority w:val="0"/>
    <w:pPr>
      <w:pBdr>
        <w:bottom w:val="single" w:color="auto" w:sz="6" w:space="1"/>
      </w:pBdr>
      <w:tabs>
        <w:tab w:val="center" w:pos="4153"/>
        <w:tab w:val="right" w:pos="8306"/>
      </w:tabs>
      <w:snapToGrid w:val="0"/>
      <w:jc w:val="center"/>
    </w:pPr>
    <w:rPr>
      <w:sz w:val="18"/>
      <w:szCs w:val="18"/>
    </w:rPr>
  </w:style>
  <w:style w:type="table" w:styleId="11">
    <w:name w:val="Table Grid"/>
    <w:basedOn w:val="10"/>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3">
    <w:name w:val="Strong"/>
    <w:qFormat/>
    <w:uiPriority w:val="0"/>
    <w:rPr>
      <w:b/>
      <w:bCs/>
    </w:rPr>
  </w:style>
  <w:style w:type="character" w:customStyle="1" w:styleId="14">
    <w:name w:val="页脚 Char"/>
    <w:link w:val="8"/>
    <w:qFormat/>
    <w:uiPriority w:val="0"/>
    <w:rPr>
      <w:kern w:val="2"/>
      <w:sz w:val="18"/>
      <w:szCs w:val="18"/>
    </w:rPr>
  </w:style>
  <w:style w:type="character" w:customStyle="1" w:styleId="15">
    <w:name w:val="页眉 Char"/>
    <w:link w:val="9"/>
    <w:qFormat/>
    <w:uiPriority w:val="0"/>
    <w:rPr>
      <w:kern w:val="2"/>
      <w:sz w:val="18"/>
      <w:szCs w:val="18"/>
    </w:rPr>
  </w:style>
  <w:style w:type="paragraph" w:customStyle="1" w:styleId="16">
    <w:name w:val="Revision"/>
    <w:unhideWhenUsed/>
    <w:qFormat/>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3</Pages>
  <Words>1464</Words>
  <Characters>1516</Characters>
  <Lines>9</Lines>
  <Paragraphs>2</Paragraphs>
  <TotalTime>2</TotalTime>
  <ScaleCrop>false</ScaleCrop>
  <LinksUpToDate>false</LinksUpToDate>
  <CharactersWithSpaces>1663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2025-07-16T08:34:00Z</dcterms:created>
  <dc:creator>User</dc:creator>
  <cp:lastModifiedBy>欣辰爹</cp:lastModifiedBy>
  <cp:lastPrinted>2018-09-17T00:55:00Z</cp:lastPrinted>
  <dcterms:modified xsi:type="dcterms:W3CDTF">2026-09-16T07:10:54Z</dcterms:modified>
  <dc:title>购 货 协 议 书</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E40595BFD1464B04870E194F44B0FD76_12</vt:lpwstr>
  </property>
  <property fmtid="{D5CDD505-2E9C-101B-9397-08002B2CF9AE}" pid="4" name="KSOTemplateDocerSaveRecord">
    <vt:lpwstr>eyJoZGlkIjoiZWUwZDIzNDZiYWQyOGE1ODRlOTg5OTcyMmVkYjFhNjkiLCJ1c2VySWQiOiIzMDc0NzE3NzEifQ==</vt:lpwstr>
  </property>
</Properties>
</file>