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53208">
      <w:pPr>
        <w:pStyle w:val="2"/>
        <w:shd w:val="clear" w:color="auto" w:fill="FFFFFF"/>
        <w:adjustRightInd w:val="0"/>
        <w:snapToGrid w:val="0"/>
        <w:spacing w:before="0" w:after="0" w:line="300" w:lineRule="auto"/>
        <w:jc w:val="center"/>
        <w:rPr>
          <w:rFonts w:hint="eastAsia" w:ascii="宋体" w:hAnsi="宋体"/>
          <w:b/>
          <w:bCs/>
          <w:color w:val="auto"/>
          <w:sz w:val="32"/>
          <w:szCs w:val="32"/>
        </w:rPr>
      </w:pPr>
      <w:r>
        <w:rPr>
          <w:rFonts w:hint="eastAsia" w:ascii="宋体" w:hAnsi="宋体"/>
          <w:b/>
          <w:bCs/>
          <w:color w:val="auto"/>
          <w:sz w:val="32"/>
          <w:szCs w:val="32"/>
        </w:rPr>
        <w:t>芜湖学院资产评估服务采购项目合同</w:t>
      </w:r>
    </w:p>
    <w:p w14:paraId="1C080005">
      <w:pPr>
        <w:shd w:val="clear" w:color="auto" w:fill="FFFFFF"/>
        <w:adjustRightInd w:val="0"/>
        <w:snapToGrid w:val="0"/>
        <w:spacing w:line="360" w:lineRule="exact"/>
        <w:jc w:val="left"/>
        <w:rPr>
          <w:rFonts w:ascii="宋体" w:hAnsi="宋体"/>
          <w:sz w:val="24"/>
        </w:rPr>
      </w:pPr>
    </w:p>
    <w:p w14:paraId="0B87CB4E">
      <w:pPr>
        <w:keepNext w:val="0"/>
        <w:keepLines w:val="0"/>
        <w:pageBreakBefore w:val="0"/>
        <w:shd w:val="clear" w:color="auto" w:fill="FFFFFF"/>
        <w:wordWrap/>
        <w:overflowPunct/>
        <w:topLinePunct w:val="0"/>
        <w:bidi w:val="0"/>
        <w:adjustRightInd w:val="0"/>
        <w:snapToGrid w:val="0"/>
        <w:spacing w:line="440" w:lineRule="exact"/>
        <w:jc w:val="left"/>
        <w:rPr>
          <w:rFonts w:ascii="宋体" w:hAnsi="宋体"/>
          <w:sz w:val="24"/>
        </w:rPr>
      </w:pPr>
      <w:r>
        <w:rPr>
          <w:rFonts w:hint="eastAsia" w:ascii="宋体" w:hAnsi="宋体"/>
          <w:sz w:val="24"/>
        </w:rPr>
        <w:t>甲方：芜湖学院（简称甲方）</w:t>
      </w:r>
    </w:p>
    <w:p w14:paraId="48A9CD71">
      <w:pPr>
        <w:keepNext w:val="0"/>
        <w:keepLines w:val="0"/>
        <w:pageBreakBefore w:val="0"/>
        <w:shd w:val="clear" w:color="auto" w:fill="FFFFFF"/>
        <w:wordWrap/>
        <w:overflowPunct/>
        <w:topLinePunct w:val="0"/>
        <w:bidi w:val="0"/>
        <w:adjustRightInd w:val="0"/>
        <w:snapToGrid w:val="0"/>
        <w:spacing w:line="440" w:lineRule="exact"/>
        <w:jc w:val="left"/>
        <w:rPr>
          <w:rFonts w:ascii="宋体" w:hAnsi="宋体"/>
          <w:sz w:val="24"/>
        </w:rPr>
      </w:pPr>
      <w:r>
        <w:rPr>
          <w:rFonts w:hint="eastAsia" w:ascii="宋体" w:hAnsi="宋体"/>
          <w:sz w:val="24"/>
        </w:rPr>
        <w:t>乙方：</w:t>
      </w:r>
      <w:r>
        <w:rPr>
          <w:rFonts w:hint="eastAsia" w:ascii="宋体" w:hAnsi="宋体"/>
          <w:sz w:val="24"/>
          <w:lang w:val="en-US" w:eastAsia="zh-CN"/>
        </w:rPr>
        <w:t xml:space="preserve"> </w:t>
      </w:r>
      <w:r>
        <w:rPr>
          <w:rFonts w:hint="eastAsia" w:ascii="宋体" w:hAnsi="宋体"/>
          <w:sz w:val="24"/>
        </w:rPr>
        <w:t>有限公司（简称乙方）</w:t>
      </w:r>
    </w:p>
    <w:p w14:paraId="024F6109">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甲方因业务需要，委托乙方作为评估机构进行资产评估，乙方同意接受甲方的委托。根据《中华人民共和国民法典》及《资产评估执业准则—资产评估委托合同》等相关规定，为明确双方的权利和义务，经甲乙双方协商一致，订立本合同。</w:t>
      </w:r>
    </w:p>
    <w:p w14:paraId="6AF13AF0">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jc w:val="both"/>
        <w:textAlignment w:val="baseline"/>
      </w:pPr>
      <w:r>
        <w:rPr>
          <w:rFonts w:hint="eastAsia"/>
          <w:b/>
          <w:bCs/>
          <w:spacing w:val="-3"/>
          <w:lang w:val="en-US" w:eastAsia="zh-CN"/>
        </w:rPr>
        <w:t>一</w:t>
      </w:r>
      <w:r>
        <w:rPr>
          <w:b/>
          <w:bCs/>
          <w:spacing w:val="-3"/>
        </w:rPr>
        <w:t>、业务委托的基本要求</w:t>
      </w:r>
    </w:p>
    <w:p w14:paraId="5A51CAA0">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甲方将本单位的</w:t>
      </w:r>
      <w:r>
        <w:rPr>
          <w:rFonts w:hint="eastAsia" w:cs="宋体"/>
          <w:spacing w:val="-3"/>
          <w:sz w:val="24"/>
          <w:szCs w:val="24"/>
          <w:lang w:val="en-US" w:eastAsia="zh-CN"/>
        </w:rPr>
        <w:t>资产评估工作</w:t>
      </w:r>
      <w:r>
        <w:rPr>
          <w:rFonts w:hint="eastAsia" w:ascii="宋体" w:hAnsi="宋体" w:eastAsia="宋体" w:cs="宋体"/>
          <w:spacing w:val="-3"/>
          <w:sz w:val="24"/>
          <w:szCs w:val="24"/>
        </w:rPr>
        <w:t>委托乙方实施，乙方</w:t>
      </w:r>
      <w:r>
        <w:rPr>
          <w:rFonts w:hint="eastAsia" w:ascii="宋体" w:hAnsi="宋体" w:eastAsia="宋体" w:cs="宋体"/>
          <w:spacing w:val="-4"/>
          <w:sz w:val="24"/>
          <w:szCs w:val="24"/>
        </w:rPr>
        <w:t>接受甲方管理并在受托范围内按照</w:t>
      </w:r>
      <w:r>
        <w:rPr>
          <w:rFonts w:hint="eastAsia" w:cs="宋体"/>
          <w:spacing w:val="-4"/>
          <w:sz w:val="24"/>
          <w:szCs w:val="24"/>
          <w:lang w:val="en-US" w:eastAsia="zh-CN"/>
        </w:rPr>
        <w:t>甲方资产评估</w:t>
      </w:r>
      <w:r>
        <w:rPr>
          <w:rFonts w:hint="eastAsia" w:ascii="宋体" w:hAnsi="宋体" w:eastAsia="宋体" w:cs="宋体"/>
          <w:spacing w:val="-4"/>
          <w:sz w:val="24"/>
          <w:szCs w:val="24"/>
        </w:rPr>
        <w:t>要求，依法依规</w:t>
      </w:r>
      <w:r>
        <w:rPr>
          <w:rFonts w:hint="eastAsia" w:cs="宋体"/>
          <w:spacing w:val="-4"/>
          <w:sz w:val="24"/>
          <w:szCs w:val="24"/>
          <w:lang w:val="en-US" w:eastAsia="zh-CN"/>
        </w:rPr>
        <w:t>开展评估工作</w:t>
      </w:r>
      <w:r>
        <w:rPr>
          <w:rFonts w:hint="eastAsia" w:ascii="宋体" w:hAnsi="宋体" w:eastAsia="宋体" w:cs="宋体"/>
          <w:spacing w:val="-4"/>
          <w:sz w:val="24"/>
          <w:szCs w:val="24"/>
        </w:rPr>
        <w:t>。</w:t>
      </w:r>
    </w:p>
    <w:p w14:paraId="46734B84">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0" w:firstLineChars="0"/>
        <w:jc w:val="both"/>
        <w:textAlignment w:val="baseline"/>
        <w:rPr>
          <w:rFonts w:hint="eastAsia" w:ascii="宋体" w:hAnsi="宋体" w:eastAsia="宋体" w:cs="宋体"/>
          <w:sz w:val="24"/>
          <w:szCs w:val="24"/>
        </w:rPr>
      </w:pPr>
      <w:r>
        <w:rPr>
          <w:rFonts w:hint="eastAsia" w:cs="宋体"/>
          <w:b/>
          <w:bCs/>
          <w:spacing w:val="-3"/>
          <w:sz w:val="24"/>
          <w:szCs w:val="24"/>
          <w:lang w:val="en-US" w:eastAsia="zh-CN"/>
        </w:rPr>
        <w:t>二</w:t>
      </w:r>
      <w:r>
        <w:rPr>
          <w:rFonts w:hint="eastAsia" w:ascii="宋体" w:hAnsi="宋体" w:eastAsia="宋体" w:cs="宋体"/>
          <w:b/>
          <w:bCs/>
          <w:spacing w:val="-3"/>
          <w:sz w:val="24"/>
          <w:szCs w:val="24"/>
        </w:rPr>
        <w:t>、甲方的权利和义务</w:t>
      </w:r>
    </w:p>
    <w:p w14:paraId="58811C62">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bookmarkStart w:id="0" w:name="auto_fouce_1"/>
      <w:r>
        <w:rPr>
          <w:rFonts w:hint="eastAsia" w:ascii="宋体" w:hAnsi="宋体" w:eastAsia="宋体" w:cs="宋体"/>
          <w:sz w:val="24"/>
          <w:szCs w:val="24"/>
        </w:rPr>
        <w:t>1．委托乙方实施项目资产评估时，向乙方提交</w:t>
      </w:r>
      <w:r>
        <w:rPr>
          <w:rFonts w:hint="eastAsia" w:cs="宋体"/>
          <w:sz w:val="24"/>
          <w:szCs w:val="24"/>
          <w:lang w:eastAsia="zh-CN"/>
        </w:rPr>
        <w:t>与委托评估事项相关的、甲方可公开且有权提供的</w:t>
      </w:r>
      <w:r>
        <w:rPr>
          <w:rFonts w:hint="eastAsia" w:ascii="宋体" w:hAnsi="宋体" w:eastAsia="宋体" w:cs="宋体"/>
          <w:sz w:val="24"/>
          <w:szCs w:val="24"/>
        </w:rPr>
        <w:t>资料，并对其真实性负责。</w:t>
      </w:r>
      <w:bookmarkEnd w:id="0"/>
    </w:p>
    <w:p w14:paraId="100495E1">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2．有权就委托的项目提出合法、合理的要求；但不得提出违法评估要求。</w:t>
      </w:r>
    </w:p>
    <w:p w14:paraId="6F4C1C7A">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bookmarkStart w:id="1" w:name="auto_fouce_2"/>
      <w:r>
        <w:rPr>
          <w:rFonts w:hint="eastAsia" w:ascii="宋体" w:hAnsi="宋体" w:eastAsia="宋体" w:cs="宋体"/>
          <w:sz w:val="24"/>
          <w:szCs w:val="24"/>
        </w:rPr>
        <w:t>3．</w:t>
      </w:r>
      <w:r>
        <w:rPr>
          <w:rFonts w:hint="eastAsia" w:cs="宋体"/>
          <w:sz w:val="24"/>
          <w:szCs w:val="24"/>
          <w:lang w:eastAsia="zh-CN"/>
        </w:rPr>
        <w:t>在不违反甲方内部管理规定、不损害甲方合法权益的前提下，</w:t>
      </w:r>
      <w:r>
        <w:rPr>
          <w:rFonts w:hint="eastAsia" w:ascii="宋体" w:hAnsi="宋体" w:eastAsia="宋体" w:cs="宋体"/>
          <w:sz w:val="24"/>
          <w:szCs w:val="24"/>
        </w:rPr>
        <w:t>配合乙方做好</w:t>
      </w:r>
      <w:r>
        <w:rPr>
          <w:rFonts w:hint="eastAsia" w:cs="宋体"/>
          <w:sz w:val="24"/>
          <w:szCs w:val="24"/>
          <w:lang w:eastAsia="zh-CN"/>
        </w:rPr>
        <w:t>与</w:t>
      </w:r>
      <w:r>
        <w:rPr>
          <w:rFonts w:hint="eastAsia" w:ascii="宋体" w:hAnsi="宋体" w:eastAsia="宋体" w:cs="宋体"/>
          <w:sz w:val="24"/>
          <w:szCs w:val="24"/>
        </w:rPr>
        <w:t>评估</w:t>
      </w:r>
      <w:r>
        <w:rPr>
          <w:rFonts w:hint="eastAsia" w:cs="宋体"/>
          <w:sz w:val="24"/>
          <w:szCs w:val="24"/>
          <w:lang w:eastAsia="zh-CN"/>
        </w:rPr>
        <w:t>事项直接相关</w:t>
      </w:r>
      <w:r>
        <w:rPr>
          <w:rFonts w:hint="eastAsia" w:ascii="宋体" w:hAnsi="宋体" w:eastAsia="宋体" w:cs="宋体"/>
          <w:sz w:val="24"/>
          <w:szCs w:val="24"/>
        </w:rPr>
        <w:t>的澄清、答疑工作。</w:t>
      </w:r>
      <w:bookmarkEnd w:id="1"/>
    </w:p>
    <w:p w14:paraId="03D2882C">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bookmarkStart w:id="2" w:name="auto_fouce_3"/>
      <w:r>
        <w:rPr>
          <w:rFonts w:hint="eastAsia" w:ascii="宋体" w:hAnsi="宋体" w:eastAsia="宋体" w:cs="宋体"/>
          <w:sz w:val="24"/>
          <w:szCs w:val="24"/>
        </w:rPr>
        <w:t>4．对乙方编制的评估报告及有关澄清、修改内容</w:t>
      </w:r>
      <w:r>
        <w:rPr>
          <w:rFonts w:hint="eastAsia" w:cs="宋体"/>
          <w:sz w:val="24"/>
          <w:szCs w:val="24"/>
          <w:lang w:eastAsia="zh-CN"/>
        </w:rPr>
        <w:t>进行审核，对符合合同约定、法律法规及资产评估准则要求的报告</w:t>
      </w:r>
      <w:r>
        <w:rPr>
          <w:rFonts w:hint="eastAsia" w:ascii="宋体" w:hAnsi="宋体" w:eastAsia="宋体" w:cs="宋体"/>
          <w:sz w:val="24"/>
          <w:szCs w:val="24"/>
        </w:rPr>
        <w:t>予以签字确认</w:t>
      </w:r>
      <w:r>
        <w:rPr>
          <w:rFonts w:hint="eastAsia" w:cs="宋体"/>
          <w:sz w:val="24"/>
          <w:szCs w:val="24"/>
          <w:lang w:eastAsia="zh-CN"/>
        </w:rPr>
        <w:t>，对不符合要求的有权要求乙方修改直至满足标准</w:t>
      </w:r>
      <w:r>
        <w:rPr>
          <w:rFonts w:hint="eastAsia" w:ascii="宋体" w:hAnsi="宋体" w:eastAsia="宋体" w:cs="宋体"/>
          <w:sz w:val="24"/>
          <w:szCs w:val="24"/>
        </w:rPr>
        <w:t>。</w:t>
      </w:r>
      <w:bookmarkEnd w:id="2"/>
    </w:p>
    <w:p w14:paraId="1BCAE1D4">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5．遵照本合同按项目据实支付评估费用。</w:t>
      </w:r>
    </w:p>
    <w:p w14:paraId="480F52CC">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6.未征得乙方同意，本资产评估报告的内容不得被摘抄、引用或披露于公开媒体，国家法律、法规另有规定以及甲、乙双方另有约定的除外。</w:t>
      </w:r>
    </w:p>
    <w:p w14:paraId="0BC362A5">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7.根据《资产评估基本准则》第十四条的规定，委托人和其他相关当事人依法提供并保证资料的真实性、合法性、完整性，是委托方和相关当事方的责任。</w:t>
      </w:r>
    </w:p>
    <w:p w14:paraId="30C59AA2">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8．派人员参加资产评估工作，但不得非法干预、影响评估过程和结果。</w:t>
      </w:r>
    </w:p>
    <w:p w14:paraId="7F96025A">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color w:val="FF0000"/>
          <w:sz w:val="24"/>
          <w:szCs w:val="24"/>
          <w:lang w:eastAsia="zh-CN"/>
        </w:rPr>
      </w:pPr>
      <w:r>
        <w:rPr>
          <w:rFonts w:hint="eastAsia" w:ascii="宋体" w:hAnsi="宋体" w:eastAsia="宋体" w:cs="宋体"/>
          <w:sz w:val="24"/>
          <w:szCs w:val="24"/>
        </w:rPr>
        <w:t>9．对乙方在实施资产评估中的行为有权予以监督。</w:t>
      </w:r>
      <w:bookmarkStart w:id="3" w:name="auto_fouce_4"/>
    </w:p>
    <w:p w14:paraId="0D8D0E6C">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lang w:eastAsia="zh-CN"/>
        </w:rPr>
      </w:pPr>
      <w:r>
        <w:rPr>
          <w:rFonts w:hint="eastAsia" w:cs="宋体"/>
          <w:sz w:val="24"/>
          <w:szCs w:val="24"/>
          <w:lang w:eastAsia="zh-CN"/>
        </w:rPr>
        <w:t>乙方基于本次合作所产生的所有评估工作成果、衍生数据及相关知识产权，除乙方可保留执业所需的最低限度存档副本外，全部归甲方所有，乙方不得擅自使用、授权第三方使用或对外披露。</w:t>
      </w:r>
      <w:bookmarkEnd w:id="3"/>
    </w:p>
    <w:p w14:paraId="18F17909">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0" w:firstLineChars="0"/>
        <w:jc w:val="both"/>
        <w:textAlignment w:val="baseline"/>
        <w:rPr>
          <w:rFonts w:hint="eastAsia" w:ascii="宋体" w:hAnsi="宋体" w:eastAsia="宋体" w:cs="宋体"/>
          <w:sz w:val="24"/>
          <w:szCs w:val="24"/>
        </w:rPr>
      </w:pPr>
      <w:r>
        <w:rPr>
          <w:rFonts w:hint="eastAsia" w:cs="宋体"/>
          <w:b/>
          <w:bCs/>
          <w:spacing w:val="-5"/>
          <w:sz w:val="24"/>
          <w:szCs w:val="24"/>
          <w:lang w:val="en-US" w:eastAsia="zh-CN"/>
        </w:rPr>
        <w:t>三</w:t>
      </w:r>
      <w:r>
        <w:rPr>
          <w:rFonts w:hint="eastAsia" w:ascii="宋体" w:hAnsi="宋体" w:eastAsia="宋体" w:cs="宋体"/>
          <w:b/>
          <w:bCs/>
          <w:spacing w:val="-5"/>
          <w:sz w:val="24"/>
          <w:szCs w:val="24"/>
        </w:rPr>
        <w:t>、乙方的权利和义务</w:t>
      </w:r>
    </w:p>
    <w:p w14:paraId="637D9780">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color w:val="FF0000"/>
          <w:sz w:val="24"/>
          <w:szCs w:val="24"/>
          <w:lang w:eastAsia="zh-CN"/>
        </w:rPr>
      </w:pPr>
      <w:r>
        <w:rPr>
          <w:rFonts w:hint="eastAsia" w:ascii="宋体" w:hAnsi="宋体" w:eastAsia="宋体" w:cs="宋体"/>
          <w:sz w:val="24"/>
          <w:szCs w:val="24"/>
        </w:rPr>
        <w:t>1.按约定评估目的进行资产评估，并对评估报告书的真实性、合法性负责。</w:t>
      </w:r>
      <w:bookmarkStart w:id="4" w:name="auto_fouce_5"/>
    </w:p>
    <w:p w14:paraId="5AEC6AD3">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lang w:eastAsia="zh-CN"/>
        </w:rPr>
      </w:pPr>
      <w:r>
        <w:rPr>
          <w:rFonts w:hint="eastAsia" w:cs="宋体"/>
          <w:sz w:val="24"/>
          <w:szCs w:val="24"/>
          <w:lang w:eastAsia="zh-CN"/>
        </w:rPr>
        <w:t>乙方出具的评估报告经甲方或相关监管部门认定存在重大错漏、虚假或不符合法律法规及资产评估准则要求的，乙方应无偿修正或重新出具报告；给甲方造成损失的，乙方应承担赔偿责任。</w:t>
      </w:r>
      <w:bookmarkEnd w:id="4"/>
    </w:p>
    <w:p w14:paraId="60C288B0">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lang w:eastAsia="zh-CN"/>
        </w:rPr>
      </w:pPr>
      <w:bookmarkStart w:id="5" w:name="auto_fouce_6"/>
      <w:r>
        <w:rPr>
          <w:rFonts w:hint="eastAsia" w:ascii="宋体" w:hAnsi="宋体" w:eastAsia="宋体" w:cs="宋体"/>
          <w:sz w:val="24"/>
          <w:szCs w:val="24"/>
        </w:rPr>
        <w:t>2.在</w:t>
      </w:r>
      <w:r>
        <w:rPr>
          <w:rFonts w:hint="eastAsia" w:cs="宋体"/>
          <w:sz w:val="24"/>
          <w:szCs w:val="24"/>
          <w:lang w:eastAsia="zh-CN"/>
        </w:rPr>
        <w:t>甲方或</w:t>
      </w:r>
      <w:r>
        <w:rPr>
          <w:rFonts w:hint="eastAsia" w:ascii="宋体" w:hAnsi="宋体" w:eastAsia="宋体" w:cs="宋体"/>
          <w:sz w:val="24"/>
          <w:szCs w:val="24"/>
        </w:rPr>
        <w:t>资产占有方提供</w:t>
      </w:r>
      <w:r>
        <w:rPr>
          <w:rFonts w:hint="eastAsia" w:cs="宋体"/>
          <w:sz w:val="24"/>
          <w:szCs w:val="24"/>
          <w:lang w:eastAsia="zh-CN"/>
        </w:rPr>
        <w:t>评估</w:t>
      </w:r>
      <w:r>
        <w:rPr>
          <w:rFonts w:hint="eastAsia" w:ascii="宋体" w:hAnsi="宋体" w:eastAsia="宋体" w:cs="宋体"/>
          <w:sz w:val="24"/>
          <w:szCs w:val="24"/>
        </w:rPr>
        <w:t>资料</w:t>
      </w:r>
      <w:r>
        <w:rPr>
          <w:rFonts w:hint="eastAsia" w:cs="宋体"/>
          <w:sz w:val="24"/>
          <w:szCs w:val="24"/>
          <w:lang w:eastAsia="zh-CN"/>
        </w:rPr>
        <w:t>后</w:t>
      </w:r>
      <w:r>
        <w:rPr>
          <w:rFonts w:hint="eastAsia" w:ascii="宋体" w:hAnsi="宋体" w:eastAsia="宋体" w:cs="宋体"/>
          <w:sz w:val="24"/>
          <w:szCs w:val="24"/>
        </w:rPr>
        <w:t>，乙方</w:t>
      </w:r>
      <w:r>
        <w:rPr>
          <w:rFonts w:hint="eastAsia" w:cs="宋体"/>
          <w:sz w:val="24"/>
          <w:szCs w:val="24"/>
          <w:lang w:eastAsia="zh-CN"/>
        </w:rPr>
        <w:t>应当</w:t>
      </w:r>
      <w:r>
        <w:rPr>
          <w:rFonts w:hint="eastAsia" w:ascii="宋体" w:hAnsi="宋体" w:eastAsia="宋体" w:cs="宋体"/>
          <w:sz w:val="24"/>
          <w:szCs w:val="24"/>
        </w:rPr>
        <w:t>在</w:t>
      </w:r>
      <w:r>
        <w:rPr>
          <w:rFonts w:hint="eastAsia" w:cs="宋体"/>
          <w:sz w:val="24"/>
          <w:szCs w:val="24"/>
          <w:lang w:val="en-US" w:eastAsia="zh-CN"/>
        </w:rPr>
        <w:t>2个工作日内一次性书面告知甲方需补充的全部材料；逾期未告知的，视为资料完整。乙方应当自收到完整评估资料之日起</w:t>
      </w:r>
      <w:r>
        <w:rPr>
          <w:rFonts w:hint="eastAsia" w:ascii="宋体" w:hAnsi="宋体" w:eastAsia="宋体" w:cs="宋体"/>
          <w:sz w:val="24"/>
          <w:szCs w:val="24"/>
        </w:rPr>
        <w:t>10个工作日</w:t>
      </w:r>
      <w:r>
        <w:rPr>
          <w:rFonts w:hint="eastAsia" w:cs="宋体"/>
          <w:sz w:val="24"/>
          <w:szCs w:val="24"/>
          <w:lang w:val="en-US" w:eastAsia="zh-CN"/>
        </w:rPr>
        <w:t>内，</w:t>
      </w:r>
      <w:r>
        <w:rPr>
          <w:rFonts w:hint="eastAsia" w:ascii="宋体" w:hAnsi="宋体" w:eastAsia="宋体" w:cs="宋体"/>
          <w:sz w:val="24"/>
          <w:szCs w:val="24"/>
        </w:rPr>
        <w:t>向各委托方出具符合法律法规</w:t>
      </w:r>
      <w:r>
        <w:rPr>
          <w:rFonts w:hint="eastAsia" w:cs="宋体"/>
          <w:sz w:val="24"/>
          <w:szCs w:val="24"/>
          <w:lang w:eastAsia="zh-CN"/>
        </w:rPr>
        <w:t>、资产评估准则及本次评估目的</w:t>
      </w:r>
      <w:r>
        <w:rPr>
          <w:rFonts w:hint="eastAsia" w:ascii="宋体" w:hAnsi="宋体" w:eastAsia="宋体" w:cs="宋体"/>
          <w:sz w:val="24"/>
          <w:szCs w:val="24"/>
        </w:rPr>
        <w:t>要求的资产评估报告书一式3份。</w:t>
      </w:r>
      <w:r>
        <w:rPr>
          <w:rFonts w:hint="eastAsia" w:cs="宋体"/>
          <w:sz w:val="24"/>
          <w:szCs w:val="24"/>
          <w:lang w:val="en-US" w:eastAsia="zh-CN"/>
        </w:rPr>
        <w:t>资产评估期间内，乙方应</w:t>
      </w:r>
      <w:r>
        <w:rPr>
          <w:rFonts w:hint="eastAsia" w:ascii="宋体" w:hAnsi="宋体" w:eastAsia="宋体" w:cs="宋体"/>
          <w:sz w:val="24"/>
          <w:szCs w:val="24"/>
        </w:rPr>
        <w:t>及时向甲方</w:t>
      </w:r>
      <w:r>
        <w:rPr>
          <w:rFonts w:hint="eastAsia" w:ascii="宋体" w:hAnsi="宋体" w:eastAsia="宋体" w:cs="宋体"/>
          <w:spacing w:val="-1"/>
          <w:sz w:val="24"/>
          <w:szCs w:val="24"/>
        </w:rPr>
        <w:t>通报</w:t>
      </w:r>
      <w:r>
        <w:rPr>
          <w:rFonts w:hint="eastAsia" w:cs="宋体"/>
          <w:spacing w:val="-1"/>
          <w:sz w:val="24"/>
          <w:szCs w:val="24"/>
          <w:lang w:eastAsia="zh-CN"/>
        </w:rPr>
        <w:t>评估</w:t>
      </w:r>
      <w:r>
        <w:rPr>
          <w:rFonts w:hint="eastAsia" w:ascii="宋体" w:hAnsi="宋体" w:eastAsia="宋体" w:cs="宋体"/>
          <w:spacing w:val="-1"/>
          <w:sz w:val="24"/>
          <w:szCs w:val="24"/>
        </w:rPr>
        <w:t>进</w:t>
      </w:r>
      <w:r>
        <w:rPr>
          <w:rFonts w:hint="eastAsia" w:ascii="宋体" w:hAnsi="宋体" w:eastAsia="宋体" w:cs="宋体"/>
          <w:spacing w:val="-3"/>
          <w:sz w:val="24"/>
          <w:szCs w:val="24"/>
        </w:rPr>
        <w:t>度，保证委托事项顺利实施。</w:t>
      </w:r>
      <w:r>
        <w:rPr>
          <w:rFonts w:hint="eastAsia" w:cs="宋体"/>
          <w:spacing w:val="-3"/>
          <w:sz w:val="24"/>
          <w:szCs w:val="24"/>
          <w:lang w:eastAsia="zh-CN"/>
        </w:rPr>
        <w:t>乙方出具的评估报告不符合前述要求或甲方合理要求的，应当无偿修改，修改期间不计入前述工作期限。乙方修改超过2次仍不符合要求的，甲方有权拒绝支付该次评估服务费，并有权单方解除该次评估委托。</w:t>
      </w:r>
      <w:bookmarkEnd w:id="5"/>
    </w:p>
    <w:p w14:paraId="184B32E4">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bookmarkStart w:id="6" w:name="auto_fouce_9"/>
      <w:r>
        <w:rPr>
          <w:rFonts w:hint="eastAsia" w:ascii="宋体" w:hAnsi="宋体" w:eastAsia="宋体" w:cs="宋体"/>
          <w:sz w:val="24"/>
          <w:szCs w:val="24"/>
        </w:rPr>
        <w:t>3.对在资产评估过程中知悉的</w:t>
      </w:r>
      <w:r>
        <w:rPr>
          <w:rFonts w:hint="eastAsia" w:cs="宋体"/>
          <w:sz w:val="24"/>
          <w:szCs w:val="24"/>
          <w:lang w:eastAsia="zh-CN"/>
        </w:rPr>
        <w:t>甲方所有未公开信息（包括但不限于</w:t>
      </w:r>
      <w:r>
        <w:rPr>
          <w:rFonts w:hint="eastAsia" w:ascii="宋体" w:hAnsi="宋体" w:eastAsia="宋体" w:cs="宋体"/>
          <w:sz w:val="24"/>
          <w:szCs w:val="24"/>
        </w:rPr>
        <w:t>商业秘密</w:t>
      </w:r>
      <w:r>
        <w:rPr>
          <w:rFonts w:hint="eastAsia" w:cs="宋体"/>
          <w:sz w:val="24"/>
          <w:szCs w:val="24"/>
          <w:lang w:eastAsia="zh-CN"/>
        </w:rPr>
        <w:t>、资产信息、师生信息、内部管理信息等）承担</w:t>
      </w:r>
      <w:r>
        <w:rPr>
          <w:rFonts w:hint="eastAsia" w:ascii="宋体" w:hAnsi="宋体" w:eastAsia="宋体" w:cs="宋体"/>
          <w:sz w:val="24"/>
          <w:szCs w:val="24"/>
        </w:rPr>
        <w:t>保密</w:t>
      </w:r>
      <w:r>
        <w:rPr>
          <w:rFonts w:hint="eastAsia" w:cs="宋体"/>
          <w:sz w:val="24"/>
          <w:szCs w:val="24"/>
          <w:lang w:eastAsia="zh-CN"/>
        </w:rPr>
        <w:t>义务，保密期限为永久；保密信息仅限用于本次评估目的，不得用于其他任何用途，且需对接触涉密信息的人员进行脱敏管理</w:t>
      </w:r>
      <w:r>
        <w:rPr>
          <w:rFonts w:hint="eastAsia" w:ascii="宋体" w:hAnsi="宋体" w:eastAsia="宋体" w:cs="宋体"/>
          <w:sz w:val="24"/>
          <w:szCs w:val="24"/>
        </w:rPr>
        <w:t>。</w:t>
      </w:r>
      <w:bookmarkEnd w:id="6"/>
    </w:p>
    <w:p w14:paraId="20694A02">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color w:val="FF0000"/>
          <w:sz w:val="24"/>
          <w:szCs w:val="24"/>
          <w:lang w:eastAsia="zh-CN"/>
        </w:rPr>
      </w:pPr>
      <w:r>
        <w:rPr>
          <w:rFonts w:hint="eastAsia" w:ascii="宋体" w:hAnsi="宋体" w:eastAsia="宋体" w:cs="宋体"/>
          <w:sz w:val="24"/>
          <w:szCs w:val="24"/>
        </w:rPr>
        <w:t>4.未经甲方书面许可，乙方及其项目资产评估师不得将资产评估报告书的内容向第三方提供或者公开，国家法律、法规另有规定的除外。</w:t>
      </w:r>
      <w:bookmarkStart w:id="7" w:name="auto_fouce_10"/>
    </w:p>
    <w:p w14:paraId="54AE7028">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lang w:eastAsia="zh-CN"/>
        </w:rPr>
      </w:pPr>
      <w:r>
        <w:rPr>
          <w:rFonts w:hint="eastAsia" w:cs="宋体"/>
          <w:sz w:val="24"/>
          <w:szCs w:val="24"/>
          <w:lang w:eastAsia="zh-CN"/>
        </w:rPr>
        <w:t>乙方违反本合同第三条第3款、第4款保密约定的，应向甲方支付违约金人民币伍仟元，并赔偿由此给甲方造成的全部损失。</w:t>
      </w:r>
      <w:bookmarkEnd w:id="7"/>
    </w:p>
    <w:p w14:paraId="6CD8EE9E">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5.遵守相关法律、法规和资产评估准则，对评估对象在评估基准日特定目的下的价值进行分析、估算并发表专业意见，是资产评估师的责任。</w:t>
      </w:r>
    </w:p>
    <w:p w14:paraId="612F8EF7">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jc w:val="both"/>
        <w:textAlignment w:val="baseline"/>
        <w:rPr>
          <w:rFonts w:hint="eastAsia" w:ascii="宋体" w:hAnsi="宋体" w:eastAsia="宋体" w:cs="宋体"/>
          <w:sz w:val="24"/>
          <w:szCs w:val="24"/>
        </w:rPr>
      </w:pPr>
      <w:r>
        <w:rPr>
          <w:rFonts w:hint="eastAsia" w:cs="宋体"/>
          <w:spacing w:val="-1"/>
          <w:sz w:val="24"/>
          <w:szCs w:val="24"/>
          <w:lang w:val="en-US" w:eastAsia="zh-CN"/>
        </w:rPr>
        <w:t>6</w:t>
      </w:r>
      <w:r>
        <w:rPr>
          <w:rFonts w:hint="eastAsia" w:ascii="宋体" w:hAnsi="宋体" w:eastAsia="宋体" w:cs="宋体"/>
          <w:spacing w:val="-1"/>
          <w:sz w:val="24"/>
          <w:szCs w:val="24"/>
        </w:rPr>
        <w:t>．负责审核甲方提供的</w:t>
      </w:r>
      <w:r>
        <w:rPr>
          <w:rFonts w:hint="eastAsia" w:cs="宋体"/>
          <w:spacing w:val="-1"/>
          <w:sz w:val="24"/>
          <w:szCs w:val="24"/>
          <w:lang w:val="en-US" w:eastAsia="zh-CN"/>
        </w:rPr>
        <w:t>资产评估</w:t>
      </w:r>
      <w:r>
        <w:rPr>
          <w:rFonts w:hint="eastAsia" w:ascii="宋体" w:hAnsi="宋体" w:eastAsia="宋体" w:cs="宋体"/>
          <w:spacing w:val="-1"/>
          <w:sz w:val="24"/>
          <w:szCs w:val="24"/>
        </w:rPr>
        <w:t>委托资料的完整性，甲方提供的委托资</w:t>
      </w:r>
      <w:r>
        <w:rPr>
          <w:rFonts w:hint="eastAsia" w:ascii="宋体" w:hAnsi="宋体" w:eastAsia="宋体" w:cs="宋体"/>
          <w:spacing w:val="-2"/>
          <w:sz w:val="24"/>
          <w:szCs w:val="24"/>
        </w:rPr>
        <w:t>料不足或不明确时，</w:t>
      </w:r>
      <w:r>
        <w:rPr>
          <w:rFonts w:hint="eastAsia" w:ascii="宋体" w:hAnsi="宋体" w:eastAsia="宋体" w:cs="宋体"/>
          <w:spacing w:val="-3"/>
          <w:sz w:val="24"/>
          <w:szCs w:val="24"/>
        </w:rPr>
        <w:t>有权要求甲方补充材料或做出明确的答复。</w:t>
      </w:r>
    </w:p>
    <w:p w14:paraId="69D88B1D">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eastAsia" w:ascii="宋体" w:hAnsi="宋体" w:eastAsia="宋体" w:cs="宋体"/>
          <w:sz w:val="24"/>
          <w:szCs w:val="24"/>
        </w:rPr>
      </w:pPr>
      <w:bookmarkStart w:id="8" w:name="auto_fouce_11"/>
      <w:r>
        <w:rPr>
          <w:rFonts w:hint="eastAsia" w:cs="宋体"/>
          <w:spacing w:val="-3"/>
          <w:sz w:val="24"/>
          <w:szCs w:val="24"/>
          <w:lang w:val="en-US" w:eastAsia="zh-CN"/>
        </w:rPr>
        <w:t>7</w:t>
      </w:r>
      <w:r>
        <w:rPr>
          <w:rFonts w:hint="eastAsia" w:ascii="宋体" w:hAnsi="宋体" w:eastAsia="宋体" w:cs="宋体"/>
          <w:spacing w:val="-3"/>
          <w:sz w:val="24"/>
          <w:szCs w:val="24"/>
        </w:rPr>
        <w:t>．在</w:t>
      </w:r>
      <w:r>
        <w:rPr>
          <w:rFonts w:hint="eastAsia" w:cs="宋体"/>
          <w:spacing w:val="-3"/>
          <w:sz w:val="24"/>
          <w:szCs w:val="24"/>
          <w:lang w:eastAsia="zh-CN"/>
        </w:rPr>
        <w:t>资产评估</w:t>
      </w:r>
      <w:r>
        <w:rPr>
          <w:rFonts w:hint="eastAsia" w:ascii="宋体" w:hAnsi="宋体" w:eastAsia="宋体" w:cs="宋体"/>
          <w:spacing w:val="-3"/>
          <w:sz w:val="24"/>
          <w:szCs w:val="24"/>
        </w:rPr>
        <w:t>活动中妥善保存有关文件资料，</w:t>
      </w:r>
      <w:r>
        <w:rPr>
          <w:rFonts w:hint="eastAsia" w:cs="宋体"/>
          <w:spacing w:val="-3"/>
          <w:sz w:val="24"/>
          <w:szCs w:val="24"/>
          <w:lang w:eastAsia="zh-CN"/>
        </w:rPr>
        <w:t>不得擅自留存与评估相关的涉密、敏感信息副本；</w:t>
      </w:r>
      <w:r>
        <w:rPr>
          <w:rFonts w:hint="eastAsia" w:ascii="宋体" w:hAnsi="宋体" w:eastAsia="宋体" w:cs="宋体"/>
          <w:spacing w:val="-3"/>
          <w:sz w:val="24"/>
          <w:szCs w:val="24"/>
        </w:rPr>
        <w:t>项目结束后</w:t>
      </w:r>
      <w:r>
        <w:rPr>
          <w:rFonts w:hint="eastAsia" w:cs="宋体"/>
          <w:spacing w:val="-3"/>
          <w:sz w:val="24"/>
          <w:szCs w:val="24"/>
          <w:lang w:eastAsia="zh-CN"/>
        </w:rPr>
        <w:t>3个工作日内</w:t>
      </w:r>
      <w:r>
        <w:rPr>
          <w:rFonts w:hint="eastAsia" w:ascii="宋体" w:hAnsi="宋体" w:eastAsia="宋体" w:cs="宋体"/>
          <w:spacing w:val="-3"/>
          <w:sz w:val="24"/>
          <w:szCs w:val="24"/>
        </w:rPr>
        <w:t>整</w:t>
      </w:r>
      <w:r>
        <w:rPr>
          <w:rFonts w:hint="eastAsia" w:ascii="宋体" w:hAnsi="宋体" w:eastAsia="宋体" w:cs="宋体"/>
          <w:spacing w:val="-4"/>
          <w:sz w:val="24"/>
          <w:szCs w:val="24"/>
        </w:rPr>
        <w:t>理全套资料</w:t>
      </w:r>
      <w:r>
        <w:rPr>
          <w:rFonts w:hint="eastAsia" w:cs="宋体"/>
          <w:spacing w:val="-4"/>
          <w:sz w:val="24"/>
          <w:szCs w:val="24"/>
          <w:lang w:eastAsia="zh-CN"/>
        </w:rPr>
        <w:t>（包括但不限于工作底稿、过程性文件、最终报告等）</w:t>
      </w:r>
      <w:r>
        <w:rPr>
          <w:rFonts w:hint="eastAsia" w:ascii="宋体" w:hAnsi="宋体" w:eastAsia="宋体" w:cs="宋体"/>
          <w:spacing w:val="-6"/>
          <w:sz w:val="24"/>
          <w:szCs w:val="24"/>
        </w:rPr>
        <w:t>送交甲方归档</w:t>
      </w:r>
      <w:r>
        <w:rPr>
          <w:rFonts w:hint="eastAsia" w:cs="宋体"/>
          <w:spacing w:val="-6"/>
          <w:sz w:val="24"/>
          <w:szCs w:val="24"/>
          <w:lang w:eastAsia="zh-CN"/>
        </w:rPr>
        <w:t>，乙方仅可留存符合行业执业要求的最低限度非涉密存档副本</w:t>
      </w:r>
      <w:r>
        <w:rPr>
          <w:rFonts w:hint="eastAsia" w:ascii="宋体" w:hAnsi="宋体" w:eastAsia="宋体" w:cs="宋体"/>
          <w:spacing w:val="-6"/>
          <w:sz w:val="24"/>
          <w:szCs w:val="24"/>
        </w:rPr>
        <w:t>。</w:t>
      </w:r>
      <w:bookmarkEnd w:id="8"/>
    </w:p>
    <w:p w14:paraId="1A9AD1DF">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both"/>
        <w:textAlignment w:val="baseline"/>
        <w:rPr>
          <w:rFonts w:hint="eastAsia" w:ascii="宋体" w:hAnsi="宋体" w:eastAsia="宋体" w:cs="宋体"/>
          <w:spacing w:val="-2"/>
          <w:sz w:val="24"/>
          <w:szCs w:val="24"/>
        </w:rPr>
      </w:pPr>
      <w:r>
        <w:rPr>
          <w:rFonts w:hint="eastAsia" w:cs="宋体"/>
          <w:spacing w:val="-2"/>
          <w:sz w:val="24"/>
          <w:szCs w:val="24"/>
          <w:lang w:val="en-US" w:eastAsia="zh-CN"/>
        </w:rPr>
        <w:t>8</w:t>
      </w:r>
      <w:r>
        <w:rPr>
          <w:rFonts w:hint="eastAsia" w:ascii="宋体" w:hAnsi="宋体" w:eastAsia="宋体" w:cs="宋体"/>
          <w:spacing w:val="-2"/>
          <w:sz w:val="24"/>
          <w:szCs w:val="24"/>
        </w:rPr>
        <w:t>．未经甲方</w:t>
      </w:r>
      <w:r>
        <w:rPr>
          <w:rFonts w:hint="eastAsia" w:cs="宋体"/>
          <w:spacing w:val="-2"/>
          <w:sz w:val="24"/>
          <w:szCs w:val="24"/>
          <w:lang w:eastAsia="zh-CN"/>
        </w:rPr>
        <w:t>书面</w:t>
      </w:r>
      <w:r>
        <w:rPr>
          <w:rFonts w:hint="eastAsia" w:ascii="宋体" w:hAnsi="宋体" w:eastAsia="宋体" w:cs="宋体"/>
          <w:spacing w:val="-2"/>
          <w:sz w:val="24"/>
          <w:szCs w:val="24"/>
        </w:rPr>
        <w:t>同意，不得暂停、终止、或委托他人处理甲方委托的事项。</w:t>
      </w:r>
    </w:p>
    <w:p w14:paraId="7D48C1DB">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0" w:firstLineChars="200"/>
        <w:jc w:val="both"/>
        <w:textAlignment w:val="baseline"/>
        <w:rPr>
          <w:rFonts w:hint="default" w:ascii="宋体" w:hAnsi="宋体" w:eastAsia="宋体" w:cs="宋体"/>
          <w:sz w:val="24"/>
          <w:szCs w:val="24"/>
          <w:lang w:val="en-US" w:eastAsia="zh-CN"/>
        </w:rPr>
      </w:pPr>
      <w:r>
        <w:rPr>
          <w:rFonts w:hint="eastAsia" w:cs="宋体"/>
          <w:b/>
          <w:bCs/>
          <w:spacing w:val="-3"/>
          <w:sz w:val="24"/>
          <w:szCs w:val="24"/>
          <w:lang w:val="en-US" w:eastAsia="zh-CN"/>
        </w:rPr>
        <w:t>四</w:t>
      </w:r>
      <w:r>
        <w:rPr>
          <w:rFonts w:hint="eastAsia" w:ascii="宋体" w:hAnsi="宋体" w:eastAsia="宋体" w:cs="宋体"/>
          <w:b/>
          <w:bCs/>
          <w:spacing w:val="-3"/>
          <w:sz w:val="24"/>
          <w:szCs w:val="24"/>
        </w:rPr>
        <w:t>、</w:t>
      </w:r>
      <w:r>
        <w:rPr>
          <w:rFonts w:hint="eastAsia" w:cs="宋体"/>
          <w:b/>
          <w:bCs/>
          <w:spacing w:val="-3"/>
          <w:sz w:val="24"/>
          <w:szCs w:val="24"/>
          <w:lang w:val="en-US" w:eastAsia="zh-CN"/>
        </w:rPr>
        <w:t>费用支付</w:t>
      </w:r>
    </w:p>
    <w:p w14:paraId="3B10EF19">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0" w:firstLineChars="200"/>
        <w:jc w:val="both"/>
        <w:textAlignment w:val="baseline"/>
        <w:rPr>
          <w:highlight w:val="none"/>
        </w:rPr>
      </w:pPr>
      <w:bookmarkStart w:id="9" w:name="auto_fouce_14"/>
      <w:r>
        <w:rPr>
          <w:rFonts w:hint="eastAsia" w:cs="宋体"/>
          <w:b/>
          <w:bCs/>
          <w:spacing w:val="-3"/>
          <w:sz w:val="24"/>
          <w:szCs w:val="24"/>
          <w:lang w:val="en-US" w:eastAsia="zh-CN"/>
        </w:rPr>
        <w:t>每项评估工作完成且评估报告经甲方验收合格后，甲方自收到乙方开具的符合国家财税规定及甲方财务要求的等额有效发票之日起30个工作日内支付对应费用。服务费按皖价服（2010）151号文件《资产评估服务收费标准》×  %的方式计取（费率不可浮动，其中评估业务起点费2000元也按折扣率打折后计费）。</w:t>
      </w:r>
      <w:bookmarkEnd w:id="9"/>
    </w:p>
    <w:p w14:paraId="7915D1E1">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0" w:firstLineChars="200"/>
        <w:jc w:val="both"/>
        <w:textAlignment w:val="baseline"/>
        <w:rPr>
          <w:rFonts w:hint="eastAsia" w:eastAsia="宋体"/>
          <w:lang w:val="en-US" w:eastAsia="zh-CN"/>
        </w:rPr>
      </w:pPr>
      <w:r>
        <w:rPr>
          <w:rFonts w:hint="eastAsia"/>
          <w:b/>
          <w:bCs/>
          <w:spacing w:val="-3"/>
          <w:lang w:val="en-US" w:eastAsia="zh-CN"/>
        </w:rPr>
        <w:t>五</w:t>
      </w:r>
      <w:r>
        <w:rPr>
          <w:b/>
          <w:bCs/>
          <w:spacing w:val="-3"/>
        </w:rPr>
        <w:t>、</w:t>
      </w:r>
      <w:r>
        <w:rPr>
          <w:b/>
          <w:bCs/>
          <w:spacing w:val="-4"/>
        </w:rPr>
        <w:t>合同</w:t>
      </w:r>
      <w:r>
        <w:rPr>
          <w:rFonts w:hint="eastAsia"/>
          <w:b/>
          <w:bCs/>
          <w:spacing w:val="-4"/>
          <w:lang w:val="en-US" w:eastAsia="zh-CN"/>
        </w:rPr>
        <w:t>服务期</w:t>
      </w:r>
    </w:p>
    <w:p w14:paraId="348C8C77">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spacing w:val="-6"/>
        </w:rPr>
      </w:pPr>
      <w:bookmarkStart w:id="10" w:name="auto_fouce_15"/>
      <w:r>
        <w:rPr>
          <w:rFonts w:hint="eastAsia"/>
          <w:lang w:eastAsia="zh-CN"/>
        </w:rPr>
        <w:t>本项目合同服务期为三年，自本合同生效之日起计算。甲方不保证服务期内产生的评估费总额达到最高价。当累计服务费达到40000.00元时，甲方有权书面通知乙方终止本合同，本合同自终止通知到达乙方之日起终止。</w:t>
      </w:r>
      <w:bookmarkEnd w:id="10"/>
    </w:p>
    <w:p w14:paraId="4C15BADB">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spacing w:val="-6"/>
        </w:rPr>
      </w:pPr>
      <w:bookmarkStart w:id="11" w:name="auto_fouce_16"/>
      <w:r>
        <w:rPr>
          <w:rFonts w:hint="eastAsia"/>
        </w:rPr>
        <w:t>签订合同前</w:t>
      </w:r>
      <w:r>
        <w:rPr>
          <w:rFonts w:hint="eastAsia"/>
          <w:lang w:eastAsia="zh-CN"/>
        </w:rPr>
        <w:t>，</w:t>
      </w:r>
      <w:r>
        <w:rPr>
          <w:rFonts w:hint="eastAsia"/>
          <w:lang w:val="en-US" w:eastAsia="zh-CN"/>
        </w:rPr>
        <w:t>甲方收取乙方</w:t>
      </w:r>
      <w:r>
        <w:rPr>
          <w:rFonts w:hint="eastAsia"/>
        </w:rPr>
        <w:t>1000.00元履约保证金。服务期</w:t>
      </w:r>
      <w:r>
        <w:rPr>
          <w:rFonts w:hint="eastAsia"/>
          <w:lang w:eastAsia="zh-CN"/>
        </w:rPr>
        <w:t>内乙方发生违约行为的，甲方有权从履约保证金中直接扣除乙方应承担的违约金、赔偿金及其他应付款项，不足部分甲方有权继续向乙方追偿。服务期</w:t>
      </w:r>
      <w:r>
        <w:rPr>
          <w:rFonts w:hint="eastAsia"/>
        </w:rPr>
        <w:t>满后，</w:t>
      </w:r>
      <w:r>
        <w:rPr>
          <w:rFonts w:hint="eastAsia"/>
          <w:lang w:eastAsia="zh-CN"/>
        </w:rPr>
        <w:t>乙方</w:t>
      </w:r>
      <w:r>
        <w:rPr>
          <w:rFonts w:hint="eastAsia"/>
        </w:rPr>
        <w:t>无违约、无</w:t>
      </w:r>
      <w:r>
        <w:rPr>
          <w:rFonts w:hint="eastAsia"/>
          <w:lang w:eastAsia="zh-CN"/>
        </w:rPr>
        <w:t>未解决的</w:t>
      </w:r>
      <w:r>
        <w:rPr>
          <w:rFonts w:hint="eastAsia"/>
        </w:rPr>
        <w:t>质量问题</w:t>
      </w:r>
      <w:r>
        <w:rPr>
          <w:rFonts w:hint="eastAsia"/>
          <w:lang w:eastAsia="zh-CN"/>
        </w:rPr>
        <w:t>或争议，且甲方完成全部应扣款项抵扣后，乙方可向甲方提交履约保证金退还申请；甲方审核确认后，于10个工作日内将履约保证金余额</w:t>
      </w:r>
      <w:r>
        <w:rPr>
          <w:rFonts w:hint="eastAsia"/>
        </w:rPr>
        <w:t>一次性无息退还</w:t>
      </w:r>
      <w:r>
        <w:rPr>
          <w:rFonts w:hint="eastAsia"/>
          <w:lang w:val="en-US" w:eastAsia="zh-CN"/>
        </w:rPr>
        <w:t>乙方</w:t>
      </w:r>
      <w:r>
        <w:rPr>
          <w:rFonts w:hint="eastAsia"/>
        </w:rPr>
        <w:t>。</w:t>
      </w:r>
      <w:r>
        <w:rPr>
          <w:rFonts w:hint="eastAsia"/>
          <w:lang w:val="en-US" w:eastAsia="zh-CN"/>
        </w:rPr>
        <w:t>乙方</w:t>
      </w:r>
      <w:r>
        <w:rPr>
          <w:rFonts w:hint="eastAsia"/>
        </w:rPr>
        <w:t>无正当理由弃标</w:t>
      </w:r>
      <w:r>
        <w:rPr>
          <w:rFonts w:hint="eastAsia"/>
          <w:lang w:eastAsia="zh-CN"/>
        </w:rPr>
        <w:t>的</w:t>
      </w:r>
      <w:r>
        <w:rPr>
          <w:rFonts w:hint="eastAsia"/>
        </w:rPr>
        <w:t>，履约保证金不予退还。</w:t>
      </w:r>
      <w:bookmarkEnd w:id="11"/>
    </w:p>
    <w:p w14:paraId="3F067D9D">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0" w:firstLineChars="200"/>
        <w:jc w:val="both"/>
        <w:textAlignment w:val="baseline"/>
        <w:rPr>
          <w:rFonts w:hint="eastAsia"/>
          <w:b/>
          <w:bCs/>
          <w:spacing w:val="-3"/>
          <w:lang w:val="en-US" w:eastAsia="zh-CN"/>
        </w:rPr>
      </w:pPr>
      <w:r>
        <w:rPr>
          <w:rFonts w:hint="eastAsia"/>
          <w:b/>
          <w:bCs/>
          <w:spacing w:val="-3"/>
          <w:lang w:val="en-US" w:eastAsia="zh-CN"/>
        </w:rPr>
        <w:t>六、资产评估报告书的使用范围与责任</w:t>
      </w:r>
    </w:p>
    <w:p w14:paraId="7F7684BB">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440" w:lineRule="exact"/>
        <w:ind w:leftChars="0" w:right="0" w:rightChars="0" w:firstLine="456" w:firstLineChars="200"/>
        <w:jc w:val="both"/>
        <w:textAlignment w:val="baseline"/>
        <w:rPr>
          <w:rFonts w:hint="default"/>
          <w:spacing w:val="-6"/>
          <w:lang w:val="en-US" w:eastAsia="zh-CN"/>
        </w:rPr>
      </w:pPr>
      <w:r>
        <w:rPr>
          <w:rFonts w:hint="default"/>
          <w:spacing w:val="-6"/>
          <w:lang w:val="en-US" w:eastAsia="zh-CN"/>
        </w:rPr>
        <w:t>1.资产评估报告书仅供甲方和本合同约定的其他报告使用者使用，法律法规另有规定的除外。</w:t>
      </w:r>
    </w:p>
    <w:p w14:paraId="0BE3B74D">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440" w:lineRule="exact"/>
        <w:ind w:leftChars="0" w:right="0" w:rightChars="0" w:firstLine="456" w:firstLineChars="200"/>
        <w:jc w:val="both"/>
        <w:textAlignment w:val="baseline"/>
        <w:rPr>
          <w:rFonts w:hint="default"/>
          <w:spacing w:val="-6"/>
          <w:lang w:val="en-US" w:eastAsia="zh-CN"/>
        </w:rPr>
      </w:pPr>
      <w:r>
        <w:rPr>
          <w:rFonts w:hint="default"/>
          <w:spacing w:val="-6"/>
          <w:lang w:val="en-US" w:eastAsia="zh-CN"/>
        </w:rPr>
        <w:t>2.乙方及其本项目资产评估师对甲方和其他评估报告使用者不当使用评估报告所造成的后果不承担责任。</w:t>
      </w:r>
    </w:p>
    <w:p w14:paraId="15A3DBA2">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0" w:firstLineChars="200"/>
        <w:jc w:val="both"/>
        <w:textAlignment w:val="baseline"/>
        <w:rPr>
          <w:rFonts w:hint="eastAsia"/>
          <w:b/>
          <w:bCs/>
          <w:spacing w:val="-3"/>
          <w:lang w:val="en-US" w:eastAsia="zh-CN"/>
        </w:rPr>
      </w:pPr>
      <w:r>
        <w:rPr>
          <w:rFonts w:hint="eastAsia"/>
          <w:b/>
          <w:bCs/>
          <w:spacing w:val="-3"/>
          <w:lang w:val="en-US" w:eastAsia="zh-CN"/>
        </w:rPr>
        <w:t>七</w:t>
      </w:r>
      <w:r>
        <w:rPr>
          <w:b/>
          <w:bCs/>
          <w:spacing w:val="-3"/>
        </w:rPr>
        <w:t>、</w:t>
      </w:r>
      <w:r>
        <w:rPr>
          <w:rFonts w:hint="eastAsia"/>
          <w:b/>
          <w:bCs/>
          <w:spacing w:val="-3"/>
          <w:lang w:val="en-US" w:eastAsia="zh-CN"/>
        </w:rPr>
        <w:t>约定事项的变更</w:t>
      </w:r>
    </w:p>
    <w:p w14:paraId="2F755418">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default"/>
          <w:b w:val="0"/>
          <w:bCs w:val="0"/>
          <w:spacing w:val="-3"/>
          <w:lang w:val="en-US" w:eastAsia="zh-CN"/>
        </w:rPr>
      </w:pPr>
      <w:bookmarkStart w:id="12" w:name="auto_fouce_17"/>
      <w:r>
        <w:rPr>
          <w:rFonts w:hint="default"/>
          <w:b w:val="0"/>
          <w:bCs w:val="0"/>
          <w:spacing w:val="-3"/>
          <w:lang w:val="en-US" w:eastAsia="zh-CN"/>
        </w:rPr>
        <w:t>1.因甲方原因造成评估业务终止时，甲方应按乙方已完成</w:t>
      </w:r>
      <w:r>
        <w:rPr>
          <w:rFonts w:hint="eastAsia"/>
          <w:b w:val="0"/>
          <w:bCs w:val="0"/>
          <w:spacing w:val="-3"/>
          <w:lang w:val="en-US" w:eastAsia="zh-CN"/>
        </w:rPr>
        <w:t>且符合质量要求、并经甲方书面确认</w:t>
      </w:r>
      <w:r>
        <w:rPr>
          <w:rFonts w:hint="default"/>
          <w:b w:val="0"/>
          <w:bCs w:val="0"/>
          <w:spacing w:val="-3"/>
          <w:lang w:val="en-US" w:eastAsia="zh-CN"/>
        </w:rPr>
        <w:t>的工作量</w:t>
      </w:r>
      <w:r>
        <w:rPr>
          <w:rFonts w:hint="eastAsia"/>
          <w:b w:val="0"/>
          <w:bCs w:val="0"/>
          <w:spacing w:val="-3"/>
          <w:lang w:val="en-US" w:eastAsia="zh-CN"/>
        </w:rPr>
        <w:t>，依据本合同约定的计费标准据实核算并</w:t>
      </w:r>
      <w:r>
        <w:rPr>
          <w:rFonts w:hint="default"/>
          <w:b w:val="0"/>
          <w:bCs w:val="0"/>
          <w:spacing w:val="-3"/>
          <w:lang w:val="en-US" w:eastAsia="zh-CN"/>
        </w:rPr>
        <w:t>支付相应的评估服务费</w:t>
      </w:r>
      <w:r>
        <w:rPr>
          <w:rFonts w:hint="eastAsia"/>
          <w:b w:val="0"/>
          <w:bCs w:val="0"/>
          <w:spacing w:val="-3"/>
          <w:lang w:val="en-US" w:eastAsia="zh-CN"/>
        </w:rPr>
        <w:t>；本合同未约定</w:t>
      </w:r>
      <w:r>
        <w:rPr>
          <w:rFonts w:hint="default"/>
          <w:b w:val="0"/>
          <w:bCs w:val="0"/>
          <w:spacing w:val="-3"/>
          <w:lang w:val="en-US" w:eastAsia="zh-CN"/>
        </w:rPr>
        <w:t>支付方式</w:t>
      </w:r>
      <w:r>
        <w:rPr>
          <w:rFonts w:hint="eastAsia"/>
          <w:b w:val="0"/>
          <w:bCs w:val="0"/>
          <w:spacing w:val="-3"/>
          <w:lang w:val="en-US" w:eastAsia="zh-CN"/>
        </w:rPr>
        <w:t>的，</w:t>
      </w:r>
      <w:r>
        <w:rPr>
          <w:rFonts w:hint="default"/>
          <w:b w:val="0"/>
          <w:bCs w:val="0"/>
          <w:spacing w:val="-3"/>
          <w:lang w:val="en-US" w:eastAsia="zh-CN"/>
        </w:rPr>
        <w:t>双方另行</w:t>
      </w:r>
      <w:r>
        <w:rPr>
          <w:rFonts w:hint="eastAsia"/>
          <w:b w:val="0"/>
          <w:bCs w:val="0"/>
          <w:spacing w:val="-3"/>
          <w:lang w:val="en-US" w:eastAsia="zh-CN"/>
        </w:rPr>
        <w:t>书面</w:t>
      </w:r>
      <w:r>
        <w:rPr>
          <w:rFonts w:hint="default"/>
          <w:b w:val="0"/>
          <w:bCs w:val="0"/>
          <w:spacing w:val="-3"/>
          <w:lang w:val="en-US" w:eastAsia="zh-CN"/>
        </w:rPr>
        <w:t>协商</w:t>
      </w:r>
      <w:r>
        <w:rPr>
          <w:rFonts w:hint="eastAsia"/>
          <w:b w:val="0"/>
          <w:bCs w:val="0"/>
          <w:spacing w:val="-3"/>
          <w:lang w:val="en-US" w:eastAsia="zh-CN"/>
        </w:rPr>
        <w:t>确</w:t>
      </w:r>
      <w:r>
        <w:rPr>
          <w:rFonts w:hint="default"/>
          <w:b w:val="0"/>
          <w:bCs w:val="0"/>
          <w:spacing w:val="-3"/>
          <w:lang w:val="en-US" w:eastAsia="zh-CN"/>
        </w:rPr>
        <w:t>定。</w:t>
      </w:r>
      <w:bookmarkEnd w:id="12"/>
    </w:p>
    <w:p w14:paraId="29362229">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default"/>
          <w:b w:val="0"/>
          <w:bCs w:val="0"/>
          <w:spacing w:val="-3"/>
          <w:lang w:val="en-US" w:eastAsia="zh-CN"/>
        </w:rPr>
      </w:pPr>
      <w:bookmarkStart w:id="13" w:name="auto_fouce_18"/>
      <w:r>
        <w:rPr>
          <w:rFonts w:hint="default"/>
          <w:b w:val="0"/>
          <w:bCs w:val="0"/>
          <w:spacing w:val="-3"/>
          <w:lang w:val="en-US" w:eastAsia="zh-CN"/>
        </w:rPr>
        <w:t>如乙方无故终止履行合同，甲方无需支付乙方评估服务费，且乙方需赔偿由此给委托方造成的损失</w:t>
      </w:r>
      <w:r>
        <w:rPr>
          <w:rFonts w:hint="eastAsia"/>
          <w:b w:val="0"/>
          <w:bCs w:val="0"/>
          <w:spacing w:val="-3"/>
          <w:lang w:val="en-US" w:eastAsia="zh-CN"/>
        </w:rPr>
        <w:t>，同时甲方有权不予退还乙方已缴纳的履约保证金</w:t>
      </w:r>
      <w:r>
        <w:rPr>
          <w:rFonts w:hint="default"/>
          <w:b w:val="0"/>
          <w:bCs w:val="0"/>
          <w:spacing w:val="-3"/>
          <w:lang w:val="en-US" w:eastAsia="zh-CN"/>
        </w:rPr>
        <w:t>。</w:t>
      </w:r>
      <w:bookmarkEnd w:id="13"/>
    </w:p>
    <w:p w14:paraId="4ED85AE7">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default"/>
          <w:b w:val="0"/>
          <w:bCs w:val="0"/>
          <w:spacing w:val="-3"/>
          <w:lang w:val="en-US" w:eastAsia="zh-CN"/>
        </w:rPr>
      </w:pPr>
      <w:bookmarkStart w:id="14" w:name="auto_fouce_19"/>
      <w:r>
        <w:rPr>
          <w:rFonts w:hint="default"/>
          <w:b w:val="0"/>
          <w:bCs w:val="0"/>
          <w:spacing w:val="-3"/>
          <w:lang w:val="en-US" w:eastAsia="zh-CN"/>
        </w:rPr>
        <w:t>2.当出现非乙方原因导致评估程序受</w:t>
      </w:r>
      <w:r>
        <w:rPr>
          <w:rFonts w:hint="eastAsia"/>
          <w:b w:val="0"/>
          <w:bCs w:val="0"/>
          <w:spacing w:val="-3"/>
          <w:lang w:val="en-US" w:eastAsia="zh-CN"/>
        </w:rPr>
        <w:t>到</w:t>
      </w:r>
      <w:r>
        <w:rPr>
          <w:rFonts w:hint="default"/>
          <w:b w:val="0"/>
          <w:bCs w:val="0"/>
          <w:spacing w:val="-3"/>
          <w:lang w:val="en-US" w:eastAsia="zh-CN"/>
        </w:rPr>
        <w:t>限制，且</w:t>
      </w:r>
      <w:r>
        <w:rPr>
          <w:rFonts w:hint="eastAsia"/>
          <w:b w:val="0"/>
          <w:bCs w:val="0"/>
          <w:spacing w:val="-3"/>
          <w:lang w:val="en-US" w:eastAsia="zh-CN"/>
        </w:rPr>
        <w:t>该限制</w:t>
      </w:r>
      <w:r>
        <w:rPr>
          <w:rFonts w:hint="default"/>
          <w:b w:val="0"/>
          <w:bCs w:val="0"/>
          <w:spacing w:val="-3"/>
          <w:lang w:val="en-US" w:eastAsia="zh-CN"/>
        </w:rPr>
        <w:t>对与评估目的相对应的评估结论构成重大影响时，乙方</w:t>
      </w:r>
      <w:r>
        <w:rPr>
          <w:rFonts w:hint="eastAsia"/>
          <w:b w:val="0"/>
          <w:bCs w:val="0"/>
          <w:spacing w:val="-3"/>
          <w:lang w:val="en-US" w:eastAsia="zh-CN"/>
        </w:rPr>
        <w:t>应立即</w:t>
      </w:r>
      <w:r>
        <w:rPr>
          <w:rFonts w:hint="default"/>
          <w:b w:val="0"/>
          <w:bCs w:val="0"/>
          <w:spacing w:val="-3"/>
          <w:lang w:val="en-US" w:eastAsia="zh-CN"/>
        </w:rPr>
        <w:t>以</w:t>
      </w:r>
      <w:r>
        <w:rPr>
          <w:rFonts w:hint="eastAsia"/>
          <w:b w:val="0"/>
          <w:bCs w:val="0"/>
          <w:spacing w:val="-3"/>
          <w:lang w:val="en-US" w:eastAsia="zh-CN"/>
        </w:rPr>
        <w:t>书面形式向甲方说明具体限制情况及其影响，双方应优先协商解决方案；确需</w:t>
      </w:r>
      <w:r>
        <w:rPr>
          <w:rFonts w:hint="default"/>
          <w:b w:val="0"/>
          <w:bCs w:val="0"/>
          <w:spacing w:val="-3"/>
          <w:lang w:val="en-US" w:eastAsia="zh-CN"/>
        </w:rPr>
        <w:t>中止履行</w:t>
      </w:r>
      <w:r>
        <w:rPr>
          <w:rFonts w:hint="eastAsia"/>
          <w:b w:val="0"/>
          <w:bCs w:val="0"/>
          <w:spacing w:val="-3"/>
          <w:lang w:val="en-US" w:eastAsia="zh-CN"/>
        </w:rPr>
        <w:t>的，乙方须经甲方书面</w:t>
      </w:r>
      <w:r>
        <w:rPr>
          <w:rFonts w:hint="default"/>
          <w:b w:val="0"/>
          <w:bCs w:val="0"/>
          <w:spacing w:val="-3"/>
          <w:lang w:val="en-US" w:eastAsia="zh-CN"/>
        </w:rPr>
        <w:t>同</w:t>
      </w:r>
      <w:r>
        <w:rPr>
          <w:rFonts w:hint="eastAsia"/>
          <w:b w:val="0"/>
          <w:bCs w:val="0"/>
          <w:spacing w:val="-3"/>
          <w:lang w:val="en-US" w:eastAsia="zh-CN"/>
        </w:rPr>
        <w:t>意后方可中止。</w:t>
      </w:r>
      <w:r>
        <w:rPr>
          <w:rFonts w:hint="default"/>
          <w:b w:val="0"/>
          <w:bCs w:val="0"/>
          <w:spacing w:val="-3"/>
          <w:lang w:val="en-US" w:eastAsia="zh-CN"/>
        </w:rPr>
        <w:t>相关限制无法排除</w:t>
      </w:r>
      <w:r>
        <w:rPr>
          <w:rFonts w:hint="eastAsia"/>
          <w:b w:val="0"/>
          <w:bCs w:val="0"/>
          <w:spacing w:val="-3"/>
          <w:lang w:val="en-US" w:eastAsia="zh-CN"/>
        </w:rPr>
        <w:t>且确实无法继续履行的</w:t>
      </w:r>
      <w:r>
        <w:rPr>
          <w:rFonts w:hint="default"/>
          <w:b w:val="0"/>
          <w:bCs w:val="0"/>
          <w:spacing w:val="-3"/>
          <w:lang w:val="en-US" w:eastAsia="zh-CN"/>
        </w:rPr>
        <w:t>，乙方可</w:t>
      </w:r>
      <w:r>
        <w:rPr>
          <w:rFonts w:hint="eastAsia"/>
          <w:b w:val="0"/>
          <w:bCs w:val="0"/>
          <w:spacing w:val="-3"/>
          <w:lang w:val="en-US" w:eastAsia="zh-CN"/>
        </w:rPr>
        <w:t>提出</w:t>
      </w:r>
      <w:r>
        <w:rPr>
          <w:rFonts w:hint="default"/>
          <w:b w:val="0"/>
          <w:bCs w:val="0"/>
          <w:spacing w:val="-3"/>
          <w:lang w:val="en-US" w:eastAsia="zh-CN"/>
        </w:rPr>
        <w:t>解除合同</w:t>
      </w:r>
      <w:r>
        <w:rPr>
          <w:rFonts w:hint="eastAsia"/>
          <w:b w:val="0"/>
          <w:bCs w:val="0"/>
          <w:spacing w:val="-3"/>
          <w:lang w:val="en-US" w:eastAsia="zh-CN"/>
        </w:rPr>
        <w:t>。</w:t>
      </w:r>
      <w:r>
        <w:rPr>
          <w:rFonts w:hint="default"/>
          <w:b w:val="0"/>
          <w:bCs w:val="0"/>
          <w:spacing w:val="-3"/>
          <w:lang w:val="en-US" w:eastAsia="zh-CN"/>
        </w:rPr>
        <w:t>合同解除时，甲方</w:t>
      </w:r>
      <w:r>
        <w:rPr>
          <w:rFonts w:hint="eastAsia"/>
          <w:b w:val="0"/>
          <w:bCs w:val="0"/>
          <w:spacing w:val="-3"/>
          <w:lang w:val="en-US" w:eastAsia="zh-CN"/>
        </w:rPr>
        <w:t>仅对</w:t>
      </w:r>
      <w:r>
        <w:rPr>
          <w:rFonts w:hint="default"/>
          <w:b w:val="0"/>
          <w:bCs w:val="0"/>
          <w:spacing w:val="-3"/>
          <w:lang w:val="en-US" w:eastAsia="zh-CN"/>
        </w:rPr>
        <w:t>乙方已完成</w:t>
      </w:r>
      <w:r>
        <w:rPr>
          <w:rFonts w:hint="eastAsia"/>
          <w:b w:val="0"/>
          <w:bCs w:val="0"/>
          <w:spacing w:val="-3"/>
          <w:lang w:val="en-US" w:eastAsia="zh-CN"/>
        </w:rPr>
        <w:t>且符合本合同约定质量要求并经甲方书面确认</w:t>
      </w:r>
      <w:r>
        <w:rPr>
          <w:rFonts w:hint="default"/>
          <w:b w:val="0"/>
          <w:bCs w:val="0"/>
          <w:spacing w:val="-3"/>
          <w:lang w:val="en-US" w:eastAsia="zh-CN"/>
        </w:rPr>
        <w:t>的工作量</w:t>
      </w:r>
      <w:r>
        <w:rPr>
          <w:rFonts w:hint="eastAsia"/>
          <w:b w:val="0"/>
          <w:bCs w:val="0"/>
          <w:spacing w:val="-3"/>
          <w:lang w:val="en-US" w:eastAsia="zh-CN"/>
        </w:rPr>
        <w:t>，按照本合同约定的计费标准</w:t>
      </w:r>
      <w:r>
        <w:rPr>
          <w:rFonts w:hint="default"/>
          <w:b w:val="0"/>
          <w:bCs w:val="0"/>
          <w:spacing w:val="-3"/>
          <w:lang w:val="en-US" w:eastAsia="zh-CN"/>
        </w:rPr>
        <w:t>支付相应评估服务费。</w:t>
      </w:r>
      <w:bookmarkEnd w:id="14"/>
    </w:p>
    <w:p w14:paraId="0E982324">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default"/>
          <w:b w:val="0"/>
          <w:bCs w:val="0"/>
          <w:spacing w:val="-3"/>
          <w:lang w:val="en-US" w:eastAsia="zh-CN"/>
        </w:rPr>
      </w:pPr>
      <w:bookmarkStart w:id="15" w:name="auto_fouce_20"/>
      <w:r>
        <w:rPr>
          <w:rFonts w:hint="default"/>
          <w:b w:val="0"/>
          <w:bCs w:val="0"/>
          <w:spacing w:val="-3"/>
          <w:lang w:val="en-US" w:eastAsia="zh-CN"/>
        </w:rPr>
        <w:t>3.本合同签订后，合同双方发现相关事项约定不明确，或者履行评估程序受到限制需要增加、调整约定事项的，</w:t>
      </w:r>
      <w:r>
        <w:rPr>
          <w:rFonts w:hint="eastAsia"/>
          <w:b w:val="0"/>
          <w:bCs w:val="0"/>
          <w:spacing w:val="-3"/>
          <w:lang w:val="en-US" w:eastAsia="zh-CN"/>
        </w:rPr>
        <w:t>双方</w:t>
      </w:r>
      <w:r>
        <w:rPr>
          <w:rFonts w:hint="default"/>
          <w:b w:val="0"/>
          <w:bCs w:val="0"/>
          <w:spacing w:val="-3"/>
          <w:lang w:val="en-US" w:eastAsia="zh-CN"/>
        </w:rPr>
        <w:t>对合同条款</w:t>
      </w:r>
      <w:r>
        <w:rPr>
          <w:rFonts w:hint="eastAsia"/>
          <w:b w:val="0"/>
          <w:bCs w:val="0"/>
          <w:spacing w:val="-3"/>
          <w:lang w:val="en-US" w:eastAsia="zh-CN"/>
        </w:rPr>
        <w:t>的</w:t>
      </w:r>
      <w:r>
        <w:rPr>
          <w:rFonts w:hint="default"/>
          <w:b w:val="0"/>
          <w:bCs w:val="0"/>
          <w:spacing w:val="-3"/>
          <w:lang w:val="en-US" w:eastAsia="zh-CN"/>
        </w:rPr>
        <w:t>变更</w:t>
      </w:r>
      <w:r>
        <w:rPr>
          <w:rFonts w:hint="eastAsia"/>
          <w:b w:val="0"/>
          <w:bCs w:val="0"/>
          <w:spacing w:val="-3"/>
          <w:lang w:val="en-US" w:eastAsia="zh-CN"/>
        </w:rPr>
        <w:t>需</w:t>
      </w:r>
      <w:r>
        <w:rPr>
          <w:rFonts w:hint="default"/>
          <w:b w:val="0"/>
          <w:bCs w:val="0"/>
          <w:spacing w:val="-3"/>
          <w:lang w:val="en-US" w:eastAsia="zh-CN"/>
        </w:rPr>
        <w:t>签订</w:t>
      </w:r>
      <w:r>
        <w:rPr>
          <w:rFonts w:hint="eastAsia"/>
          <w:b w:val="0"/>
          <w:bCs w:val="0"/>
          <w:spacing w:val="-3"/>
          <w:lang w:val="en-US" w:eastAsia="zh-CN"/>
        </w:rPr>
        <w:t>书面</w:t>
      </w:r>
      <w:r>
        <w:rPr>
          <w:rFonts w:hint="default"/>
          <w:b w:val="0"/>
          <w:bCs w:val="0"/>
          <w:spacing w:val="-3"/>
          <w:lang w:val="en-US" w:eastAsia="zh-CN"/>
        </w:rPr>
        <w:t>补充协议</w:t>
      </w:r>
      <w:r>
        <w:rPr>
          <w:rFonts w:hint="eastAsia"/>
          <w:b w:val="0"/>
          <w:bCs w:val="0"/>
          <w:spacing w:val="-3"/>
          <w:lang w:val="en-US" w:eastAsia="zh-CN"/>
        </w:rPr>
        <w:t>，口头变更不产生法律效力</w:t>
      </w:r>
      <w:r>
        <w:rPr>
          <w:rFonts w:hint="default"/>
          <w:b w:val="0"/>
          <w:bCs w:val="0"/>
          <w:spacing w:val="-3"/>
          <w:lang w:val="en-US" w:eastAsia="zh-CN"/>
        </w:rPr>
        <w:t>。</w:t>
      </w:r>
      <w:bookmarkEnd w:id="15"/>
    </w:p>
    <w:p w14:paraId="75D1DCC6">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both"/>
        <w:textAlignment w:val="baseline"/>
        <w:rPr>
          <w:rFonts w:hint="default"/>
          <w:b/>
          <w:bCs/>
          <w:spacing w:val="-3"/>
          <w:lang w:val="en-US" w:eastAsia="zh-CN"/>
        </w:rPr>
      </w:pPr>
      <w:r>
        <w:rPr>
          <w:rFonts w:hint="eastAsia"/>
          <w:b w:val="0"/>
          <w:bCs w:val="0"/>
          <w:spacing w:val="-3"/>
          <w:lang w:val="en-US" w:eastAsia="zh-CN"/>
        </w:rPr>
        <w:t>4</w:t>
      </w:r>
      <w:r>
        <w:rPr>
          <w:rFonts w:hint="default"/>
          <w:b w:val="0"/>
          <w:bCs w:val="0"/>
          <w:spacing w:val="-3"/>
          <w:lang w:val="en-US" w:eastAsia="zh-CN"/>
        </w:rPr>
        <w:t>.由于出现不可预见情况，影响资产评估工作如期完成，合同双方可要求变更约定事项，但应及时通知对方，并由双方协商解决。</w:t>
      </w:r>
    </w:p>
    <w:p w14:paraId="3F623A9C">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0" w:firstLineChars="200"/>
        <w:jc w:val="both"/>
        <w:textAlignment w:val="baseline"/>
      </w:pPr>
      <w:r>
        <w:rPr>
          <w:rFonts w:hint="eastAsia"/>
          <w:b/>
          <w:bCs/>
          <w:spacing w:val="-3"/>
          <w:lang w:val="en-US" w:eastAsia="zh-CN"/>
        </w:rPr>
        <w:t>九、</w:t>
      </w:r>
      <w:r>
        <w:rPr>
          <w:b/>
          <w:bCs/>
          <w:spacing w:val="-3"/>
        </w:rPr>
        <w:t>违约责任和争议解决</w:t>
      </w:r>
    </w:p>
    <w:p w14:paraId="0B857748">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rPr>
          <w:rFonts w:hint="eastAsia" w:eastAsia="宋体"/>
          <w:lang w:eastAsia="zh-CN"/>
        </w:rPr>
      </w:pPr>
      <w:bookmarkStart w:id="16" w:name="auto_fouce_21"/>
      <w:r>
        <w:t>1．一方违约给</w:t>
      </w:r>
      <w:r>
        <w:rPr>
          <w:rFonts w:hint="eastAsia"/>
          <w:lang w:val="en-US" w:eastAsia="zh-CN"/>
        </w:rPr>
        <w:t>另一方</w:t>
      </w:r>
      <w:r>
        <w:t>造成损失的，由违约方承担赔偿责任，</w:t>
      </w:r>
      <w:r>
        <w:rPr>
          <w:spacing w:val="-1"/>
        </w:rPr>
        <w:t>另一方要求违约</w:t>
      </w:r>
      <w:r>
        <w:rPr>
          <w:spacing w:val="-3"/>
        </w:rPr>
        <w:t>方继续履行合同的，违约方仍应继续履行。</w:t>
      </w:r>
      <w:r>
        <w:rPr>
          <w:rFonts w:hint="eastAsia"/>
          <w:spacing w:val="-3"/>
          <w:lang w:eastAsia="zh-CN"/>
        </w:rPr>
        <w:t>乙方逾期交付评估报告的，每逾期1日，应按照该次评估服务费总额的1%向甲方支付违约金；逾期超过7日的，甲方有权单方解除该次评估委托，无需支付该次评估服务费，乙方还应赔偿甲方由此造成的全部损失。</w:t>
      </w:r>
      <w:bookmarkEnd w:id="16"/>
    </w:p>
    <w:p w14:paraId="5C06F2B5">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both"/>
        <w:textAlignment w:val="baseline"/>
      </w:pPr>
      <w:bookmarkStart w:id="17" w:name="auto_fouce_22"/>
      <w:r>
        <w:rPr>
          <w:spacing w:val="-4"/>
        </w:rPr>
        <w:t>2．双方在本合同履行期间发生争议，应及时协商解决，或者请求相关行政监督部门调解。</w:t>
      </w:r>
      <w:r>
        <w:rPr>
          <w:spacing w:val="-2"/>
        </w:rPr>
        <w:t>协商、调解不成的，任何一方均可向芜湖仲裁委员会申请仲裁</w:t>
      </w:r>
      <w:r>
        <w:rPr>
          <w:rFonts w:hint="eastAsia"/>
          <w:spacing w:val="-2"/>
          <w:lang w:eastAsia="zh-CN"/>
        </w:rPr>
        <w:t>，仲裁裁决是终局的，对双方均有约束力</w:t>
      </w:r>
      <w:r>
        <w:rPr>
          <w:spacing w:val="-2"/>
        </w:rPr>
        <w:t>。</w:t>
      </w:r>
      <w:bookmarkEnd w:id="17"/>
    </w:p>
    <w:p w14:paraId="64DD33DD">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58" w:firstLineChars="200"/>
        <w:jc w:val="both"/>
        <w:textAlignment w:val="baseline"/>
        <w:rPr>
          <w:rFonts w:hint="eastAsia" w:eastAsia="宋体"/>
          <w:lang w:val="en-US" w:eastAsia="zh-CN"/>
        </w:rPr>
      </w:pPr>
      <w:r>
        <w:rPr>
          <w:rFonts w:hint="eastAsia"/>
          <w:b/>
          <w:bCs/>
          <w:spacing w:val="-6"/>
          <w:lang w:val="en-US" w:eastAsia="zh-CN"/>
        </w:rPr>
        <w:t>十</w:t>
      </w:r>
      <w:r>
        <w:rPr>
          <w:b/>
          <w:bCs/>
          <w:spacing w:val="-6"/>
        </w:rPr>
        <w:t>、其他</w:t>
      </w:r>
      <w:r>
        <w:rPr>
          <w:rFonts w:hint="eastAsia"/>
          <w:b/>
          <w:bCs/>
          <w:spacing w:val="-6"/>
          <w:lang w:val="en-US" w:eastAsia="zh-CN"/>
        </w:rPr>
        <w:t>事项</w:t>
      </w:r>
    </w:p>
    <w:p w14:paraId="3BC4B8D4">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both"/>
        <w:textAlignment w:val="baseline"/>
      </w:pPr>
      <w:r>
        <w:rPr>
          <w:rFonts w:hint="eastAsia"/>
          <w:lang w:val="en-US" w:eastAsia="zh-CN"/>
        </w:rPr>
        <w:t>1</w:t>
      </w:r>
      <w:r>
        <w:t>．本合同未尽事项，或者一方提出变更、补充本合同条款时，双方可协商一致</w:t>
      </w:r>
      <w:r>
        <w:rPr>
          <w:spacing w:val="-1"/>
        </w:rPr>
        <w:t>，另行签</w:t>
      </w:r>
      <w:r>
        <w:rPr>
          <w:spacing w:val="-6"/>
        </w:rPr>
        <w:t>订补充变更协议。</w:t>
      </w:r>
    </w:p>
    <w:p w14:paraId="3408D285">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both"/>
        <w:textAlignment w:val="baseline"/>
        <w:rPr>
          <w:rFonts w:hint="eastAsia" w:eastAsia="宋体"/>
          <w:color w:val="FF0000"/>
          <w:spacing w:val="-2"/>
          <w:lang w:eastAsia="zh-CN"/>
        </w:rPr>
      </w:pPr>
      <w:r>
        <w:rPr>
          <w:rFonts w:hint="eastAsia"/>
          <w:spacing w:val="-2"/>
          <w:lang w:val="en-US" w:eastAsia="zh-CN"/>
        </w:rPr>
        <w:t>2</w:t>
      </w:r>
      <w:r>
        <w:rPr>
          <w:spacing w:val="-2"/>
        </w:rPr>
        <w:t>．本协议书一式</w:t>
      </w:r>
      <w:r>
        <w:rPr>
          <w:rFonts w:hint="eastAsia"/>
          <w:spacing w:val="-2"/>
          <w:lang w:val="en-US" w:eastAsia="zh-CN"/>
        </w:rPr>
        <w:t>伍</w:t>
      </w:r>
      <w:r>
        <w:rPr>
          <w:spacing w:val="-2"/>
        </w:rPr>
        <w:t>份，甲</w:t>
      </w:r>
      <w:r>
        <w:rPr>
          <w:rFonts w:hint="eastAsia"/>
          <w:spacing w:val="-2"/>
          <w:lang w:val="en-US" w:eastAsia="zh-CN"/>
        </w:rPr>
        <w:t>方叁份，</w:t>
      </w:r>
      <w:r>
        <w:rPr>
          <w:spacing w:val="-2"/>
        </w:rPr>
        <w:t>乙方</w:t>
      </w:r>
      <w:r>
        <w:rPr>
          <w:rFonts w:hint="eastAsia"/>
          <w:spacing w:val="-2"/>
          <w:lang w:val="en-US" w:eastAsia="zh-CN"/>
        </w:rPr>
        <w:t>贰</w:t>
      </w:r>
      <w:r>
        <w:rPr>
          <w:spacing w:val="-2"/>
        </w:rPr>
        <w:t>份，经双方签字盖章后生效。</w:t>
      </w:r>
      <w:bookmarkStart w:id="18" w:name="auto_fouce_23"/>
    </w:p>
    <w:p w14:paraId="018FAB08">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both"/>
        <w:textAlignment w:val="baseline"/>
        <w:rPr>
          <w:rFonts w:hint="eastAsia" w:eastAsia="宋体"/>
          <w:spacing w:val="-2"/>
          <w:lang w:eastAsia="zh-CN"/>
        </w:rPr>
      </w:pPr>
      <w:r>
        <w:rPr>
          <w:rFonts w:hint="eastAsia"/>
          <w:spacing w:val="-2"/>
          <w:lang w:eastAsia="zh-CN"/>
        </w:rPr>
        <w:t>送达地址确认：双方确认本合同首页载明的联系方式及地址为有效送达地址，任何一方变更送达地址或联系方式的，应提前7日书面通知对方；未按约定通知的，按原地址送达的文件视为有效送达。</w:t>
      </w:r>
      <w:bookmarkEnd w:id="18"/>
    </w:p>
    <w:p w14:paraId="6BEFDEC4">
      <w:pPr>
        <w:pStyle w:val="3"/>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textAlignment w:val="baseline"/>
        <w:rPr>
          <w:spacing w:val="-2"/>
        </w:rPr>
      </w:pPr>
    </w:p>
    <w:p w14:paraId="10B5E977">
      <w:pPr>
        <w:keepNext w:val="0"/>
        <w:keepLines w:val="0"/>
        <w:pageBreakBefore w:val="0"/>
        <w:widowControl/>
        <w:tabs>
          <w:tab w:val="left" w:pos="5400"/>
        </w:tabs>
        <w:kinsoku w:val="0"/>
        <w:wordWrap/>
        <w:overflowPunct/>
        <w:topLinePunct w:val="0"/>
        <w:autoSpaceDE w:val="0"/>
        <w:autoSpaceDN w:val="0"/>
        <w:bidi w:val="0"/>
        <w:adjustRightInd w:val="0"/>
        <w:snapToGrid w:val="0"/>
        <w:spacing w:line="440" w:lineRule="exact"/>
        <w:ind w:left="0" w:firstLine="480" w:firstLineChars="200"/>
        <w:textAlignment w:val="baseline"/>
        <w:rPr>
          <w:rFonts w:hint="eastAsia" w:ascii="宋体" w:hAnsi="宋体"/>
          <w:sz w:val="24"/>
        </w:rPr>
      </w:pPr>
    </w:p>
    <w:p w14:paraId="590E1C29">
      <w:pPr>
        <w:keepNext w:val="0"/>
        <w:keepLines w:val="0"/>
        <w:pageBreakBefore w:val="0"/>
        <w:widowControl/>
        <w:tabs>
          <w:tab w:val="left" w:pos="5400"/>
        </w:tabs>
        <w:kinsoku w:val="0"/>
        <w:wordWrap/>
        <w:overflowPunct/>
        <w:topLinePunct w:val="0"/>
        <w:autoSpaceDE w:val="0"/>
        <w:autoSpaceDN w:val="0"/>
        <w:bidi w:val="0"/>
        <w:adjustRightInd w:val="0"/>
        <w:snapToGrid w:val="0"/>
        <w:spacing w:line="440" w:lineRule="exact"/>
        <w:ind w:left="0" w:firstLine="480" w:firstLineChars="200"/>
        <w:textAlignment w:val="baseline"/>
        <w:rPr>
          <w:rFonts w:hint="eastAsia" w:ascii="宋体" w:hAnsi="宋体"/>
          <w:sz w:val="24"/>
        </w:rPr>
      </w:pPr>
    </w:p>
    <w:p w14:paraId="086C5416">
      <w:pPr>
        <w:keepNext w:val="0"/>
        <w:keepLines w:val="0"/>
        <w:pageBreakBefore w:val="0"/>
        <w:widowControl/>
        <w:tabs>
          <w:tab w:val="left" w:pos="5400"/>
        </w:tabs>
        <w:kinsoku w:val="0"/>
        <w:wordWrap/>
        <w:overflowPunct/>
        <w:topLinePunct w:val="0"/>
        <w:autoSpaceDE w:val="0"/>
        <w:autoSpaceDN w:val="0"/>
        <w:bidi w:val="0"/>
        <w:adjustRightInd w:val="0"/>
        <w:snapToGrid w:val="0"/>
        <w:spacing w:line="440" w:lineRule="exact"/>
        <w:ind w:left="5519" w:leftChars="228" w:hanging="5040" w:hangingChars="2100"/>
        <w:textAlignment w:val="baseline"/>
        <w:rPr>
          <w:rFonts w:hint="eastAsia" w:ascii="宋体" w:hAnsi="宋体"/>
          <w:sz w:val="24"/>
        </w:rPr>
      </w:pPr>
      <w:r>
        <w:rPr>
          <w:rFonts w:hint="eastAsia" w:ascii="宋体" w:hAnsi="宋体"/>
          <w:sz w:val="24"/>
        </w:rPr>
        <w:t>甲方：芜湖学院                        乙方：</w:t>
      </w:r>
      <w:bookmarkStart w:id="20" w:name="_GoBack"/>
      <w:bookmarkEnd w:id="20"/>
      <w:r>
        <w:rPr>
          <w:rFonts w:hint="eastAsia" w:ascii="宋体" w:hAnsi="宋体"/>
          <w:sz w:val="24"/>
        </w:rPr>
        <w:t xml:space="preserve">   </w:t>
      </w:r>
    </w:p>
    <w:p w14:paraId="58F851AB">
      <w:pPr>
        <w:keepNext w:val="0"/>
        <w:keepLines w:val="0"/>
        <w:pageBreakBefore w:val="0"/>
        <w:widowControl/>
        <w:tabs>
          <w:tab w:val="left" w:pos="5400"/>
        </w:tabs>
        <w:kinsoku w:val="0"/>
        <w:wordWrap/>
        <w:overflowPunct/>
        <w:topLinePunct w:val="0"/>
        <w:autoSpaceDE w:val="0"/>
        <w:autoSpaceDN w:val="0"/>
        <w:bidi w:val="0"/>
        <w:adjustRightInd w:val="0"/>
        <w:snapToGrid w:val="0"/>
        <w:spacing w:line="440" w:lineRule="exact"/>
        <w:ind w:left="0" w:firstLine="480" w:firstLineChars="200"/>
        <w:textAlignment w:val="baseline"/>
        <w:rPr>
          <w:rFonts w:hint="eastAsia" w:ascii="宋体" w:hAnsi="宋体"/>
          <w:sz w:val="24"/>
        </w:rPr>
      </w:pPr>
      <w:r>
        <w:rPr>
          <w:rFonts w:hint="eastAsia" w:ascii="宋体" w:hAnsi="宋体"/>
          <w:sz w:val="24"/>
        </w:rPr>
        <w:t>单位名称（盖章）：                     单位名称（盖章）：</w:t>
      </w:r>
    </w:p>
    <w:p w14:paraId="085926A9">
      <w:pPr>
        <w:keepNext w:val="0"/>
        <w:keepLines w:val="0"/>
        <w:pageBreakBefore w:val="0"/>
        <w:widowControl/>
        <w:tabs>
          <w:tab w:val="left" w:pos="4875"/>
        </w:tabs>
        <w:kinsoku w:val="0"/>
        <w:wordWrap/>
        <w:overflowPunct/>
        <w:topLinePunct w:val="0"/>
        <w:autoSpaceDE w:val="0"/>
        <w:autoSpaceDN w:val="0"/>
        <w:bidi w:val="0"/>
        <w:adjustRightInd w:val="0"/>
        <w:snapToGrid w:val="0"/>
        <w:spacing w:line="440" w:lineRule="exact"/>
        <w:ind w:left="0" w:firstLine="480" w:firstLineChars="200"/>
        <w:textAlignment w:val="baseline"/>
        <w:rPr>
          <w:rFonts w:hint="eastAsia" w:ascii="宋体" w:hAnsi="宋体"/>
          <w:sz w:val="24"/>
        </w:rPr>
      </w:pPr>
      <w:r>
        <w:rPr>
          <w:rFonts w:hint="eastAsia" w:ascii="宋体" w:hAnsi="宋体"/>
          <w:sz w:val="24"/>
        </w:rPr>
        <w:t>法定代表人或委托经办人：              法定代表人或委托经办人：</w:t>
      </w:r>
    </w:p>
    <w:p w14:paraId="6CCA1766">
      <w:pPr>
        <w:keepNext w:val="0"/>
        <w:keepLines w:val="0"/>
        <w:pageBreakBefore w:val="0"/>
        <w:widowControl/>
        <w:tabs>
          <w:tab w:val="left" w:pos="5400"/>
        </w:tabs>
        <w:kinsoku w:val="0"/>
        <w:wordWrap/>
        <w:overflowPunct/>
        <w:topLinePunct w:val="0"/>
        <w:autoSpaceDE w:val="0"/>
        <w:autoSpaceDN w:val="0"/>
        <w:bidi w:val="0"/>
        <w:adjustRightInd w:val="0"/>
        <w:snapToGrid w:val="0"/>
        <w:spacing w:line="440" w:lineRule="exact"/>
        <w:ind w:left="0" w:firstLine="480" w:firstLineChars="200"/>
        <w:textAlignment w:val="baseline"/>
        <w:rPr>
          <w:rFonts w:hint="eastAsia" w:ascii="宋体" w:hAnsi="宋体"/>
          <w:sz w:val="24"/>
        </w:rPr>
      </w:pPr>
      <w:r>
        <w:rPr>
          <w:rFonts w:hint="eastAsia" w:ascii="宋体" w:hAnsi="宋体"/>
          <w:sz w:val="24"/>
        </w:rPr>
        <w:t>电话：                                电话：</w:t>
      </w:r>
      <w:r>
        <w:rPr>
          <w:rFonts w:ascii="宋体" w:hAnsi="宋体"/>
          <w:sz w:val="24"/>
        </w:rPr>
        <w:t xml:space="preserve"> </w:t>
      </w:r>
    </w:p>
    <w:p w14:paraId="49D4276D">
      <w:pPr>
        <w:keepNext w:val="0"/>
        <w:keepLines w:val="0"/>
        <w:pageBreakBefore w:val="0"/>
        <w:widowControl/>
        <w:kinsoku w:val="0"/>
        <w:wordWrap/>
        <w:overflowPunct/>
        <w:topLinePunct w:val="0"/>
        <w:autoSpaceDE w:val="0"/>
        <w:autoSpaceDN w:val="0"/>
        <w:bidi w:val="0"/>
        <w:adjustRightInd w:val="0"/>
        <w:snapToGrid w:val="0"/>
        <w:spacing w:line="440" w:lineRule="exact"/>
        <w:ind w:left="0" w:firstLine="480" w:firstLineChars="200"/>
        <w:textAlignment w:val="baseline"/>
        <w:rPr>
          <w:rFonts w:hint="eastAsia"/>
          <w:sz w:val="18"/>
          <w:szCs w:val="18"/>
        </w:rPr>
      </w:pPr>
      <w:bookmarkStart w:id="19" w:name="tip_risk_bookmark_24"/>
      <w:r>
        <w:rPr>
          <w:rFonts w:hint="eastAsia" w:ascii="宋体" w:hAnsi="宋体"/>
          <w:sz w:val="24"/>
        </w:rPr>
        <w:t>年   月   日                          年  月   日</w:t>
      </w:r>
      <w:bookmarkEnd w:id="19"/>
    </w:p>
    <w:p w14:paraId="41C63108">
      <w:pPr>
        <w:spacing w:line="264" w:lineRule="auto"/>
        <w:rPr>
          <w:rFonts w:hint="eastAsia"/>
          <w:sz w:val="18"/>
          <w:szCs w:val="18"/>
        </w:rPr>
      </w:pPr>
    </w:p>
    <w:sectPr>
      <w:headerReference r:id="rId3" w:type="default"/>
      <w:pgSz w:w="11906" w:h="16838"/>
      <w:pgMar w:top="1440" w:right="1800" w:bottom="1440" w:left="1800" w:header="851" w:footer="992" w:gutter="0"/>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F0AAA">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trackRevisions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lZWIzMGUzMzJiY2Y2M2Y4ODg4ZDg3ZGE4OTM5MjEifQ=="/>
  </w:docVars>
  <w:rsids>
    <w:rsidRoot w:val="00A57318"/>
    <w:rsid w:val="0000440B"/>
    <w:rsid w:val="000046A4"/>
    <w:rsid w:val="0001634C"/>
    <w:rsid w:val="00026F52"/>
    <w:rsid w:val="000506DC"/>
    <w:rsid w:val="00050743"/>
    <w:rsid w:val="00051230"/>
    <w:rsid w:val="00055549"/>
    <w:rsid w:val="0006685E"/>
    <w:rsid w:val="0008099A"/>
    <w:rsid w:val="00081190"/>
    <w:rsid w:val="00081A7A"/>
    <w:rsid w:val="00085617"/>
    <w:rsid w:val="00091C2F"/>
    <w:rsid w:val="0009405C"/>
    <w:rsid w:val="000C39A9"/>
    <w:rsid w:val="000C6499"/>
    <w:rsid w:val="000F2AAD"/>
    <w:rsid w:val="001064AD"/>
    <w:rsid w:val="00111C4F"/>
    <w:rsid w:val="00114335"/>
    <w:rsid w:val="001312A2"/>
    <w:rsid w:val="00134F80"/>
    <w:rsid w:val="0014408D"/>
    <w:rsid w:val="00155440"/>
    <w:rsid w:val="00173268"/>
    <w:rsid w:val="00186780"/>
    <w:rsid w:val="00195B84"/>
    <w:rsid w:val="001A4793"/>
    <w:rsid w:val="001A4C24"/>
    <w:rsid w:val="001B6D0D"/>
    <w:rsid w:val="001D3970"/>
    <w:rsid w:val="001D702A"/>
    <w:rsid w:val="001D756D"/>
    <w:rsid w:val="001D7695"/>
    <w:rsid w:val="001E6C91"/>
    <w:rsid w:val="001F1BE9"/>
    <w:rsid w:val="001F2C76"/>
    <w:rsid w:val="00207B39"/>
    <w:rsid w:val="0021568D"/>
    <w:rsid w:val="00217447"/>
    <w:rsid w:val="00225CD9"/>
    <w:rsid w:val="002313C2"/>
    <w:rsid w:val="002319E4"/>
    <w:rsid w:val="00240410"/>
    <w:rsid w:val="002476D4"/>
    <w:rsid w:val="0025328E"/>
    <w:rsid w:val="00266E89"/>
    <w:rsid w:val="002767BD"/>
    <w:rsid w:val="002835D8"/>
    <w:rsid w:val="002842B3"/>
    <w:rsid w:val="00294079"/>
    <w:rsid w:val="00296413"/>
    <w:rsid w:val="00296FF9"/>
    <w:rsid w:val="002A2659"/>
    <w:rsid w:val="002A5546"/>
    <w:rsid w:val="002B7E53"/>
    <w:rsid w:val="002C75F9"/>
    <w:rsid w:val="002D0ADD"/>
    <w:rsid w:val="002D272F"/>
    <w:rsid w:val="002D2885"/>
    <w:rsid w:val="002D59D4"/>
    <w:rsid w:val="002D5F54"/>
    <w:rsid w:val="002E2B8E"/>
    <w:rsid w:val="002E7BA1"/>
    <w:rsid w:val="002F152F"/>
    <w:rsid w:val="00301AC8"/>
    <w:rsid w:val="00320A2D"/>
    <w:rsid w:val="0032405E"/>
    <w:rsid w:val="00326BE3"/>
    <w:rsid w:val="00327A50"/>
    <w:rsid w:val="00330C71"/>
    <w:rsid w:val="00346873"/>
    <w:rsid w:val="003519C7"/>
    <w:rsid w:val="00367C85"/>
    <w:rsid w:val="00372780"/>
    <w:rsid w:val="00375033"/>
    <w:rsid w:val="003775AD"/>
    <w:rsid w:val="003831A2"/>
    <w:rsid w:val="00383FF3"/>
    <w:rsid w:val="00397E29"/>
    <w:rsid w:val="003B4E45"/>
    <w:rsid w:val="003C158B"/>
    <w:rsid w:val="003D02F2"/>
    <w:rsid w:val="003E6A75"/>
    <w:rsid w:val="003F605D"/>
    <w:rsid w:val="003F765A"/>
    <w:rsid w:val="00400626"/>
    <w:rsid w:val="00402033"/>
    <w:rsid w:val="0040389C"/>
    <w:rsid w:val="00404612"/>
    <w:rsid w:val="00413D9A"/>
    <w:rsid w:val="00424C49"/>
    <w:rsid w:val="0042528C"/>
    <w:rsid w:val="00426A80"/>
    <w:rsid w:val="004321C6"/>
    <w:rsid w:val="0045101B"/>
    <w:rsid w:val="00453C77"/>
    <w:rsid w:val="00462D01"/>
    <w:rsid w:val="00472F93"/>
    <w:rsid w:val="00482ED7"/>
    <w:rsid w:val="004861B0"/>
    <w:rsid w:val="00490CB6"/>
    <w:rsid w:val="004A1819"/>
    <w:rsid w:val="004C0107"/>
    <w:rsid w:val="004C3DDF"/>
    <w:rsid w:val="00517A29"/>
    <w:rsid w:val="005335A3"/>
    <w:rsid w:val="005425B8"/>
    <w:rsid w:val="00544389"/>
    <w:rsid w:val="00550010"/>
    <w:rsid w:val="00591F65"/>
    <w:rsid w:val="00595D75"/>
    <w:rsid w:val="00596416"/>
    <w:rsid w:val="005E3378"/>
    <w:rsid w:val="005F3955"/>
    <w:rsid w:val="006130A6"/>
    <w:rsid w:val="006277C8"/>
    <w:rsid w:val="00627F29"/>
    <w:rsid w:val="00630718"/>
    <w:rsid w:val="006406BE"/>
    <w:rsid w:val="006430E9"/>
    <w:rsid w:val="00643EDF"/>
    <w:rsid w:val="00646694"/>
    <w:rsid w:val="00647E69"/>
    <w:rsid w:val="0065629C"/>
    <w:rsid w:val="006619C9"/>
    <w:rsid w:val="00677CE9"/>
    <w:rsid w:val="00691B5A"/>
    <w:rsid w:val="00691E77"/>
    <w:rsid w:val="00693676"/>
    <w:rsid w:val="006A26C9"/>
    <w:rsid w:val="006A32A6"/>
    <w:rsid w:val="006B1D91"/>
    <w:rsid w:val="006B78A8"/>
    <w:rsid w:val="006C01DF"/>
    <w:rsid w:val="006C11F4"/>
    <w:rsid w:val="006C2C88"/>
    <w:rsid w:val="006D5C2E"/>
    <w:rsid w:val="006D626A"/>
    <w:rsid w:val="006E355D"/>
    <w:rsid w:val="006E465E"/>
    <w:rsid w:val="006F1489"/>
    <w:rsid w:val="006F1C3F"/>
    <w:rsid w:val="006F7C3B"/>
    <w:rsid w:val="00700CA0"/>
    <w:rsid w:val="00704C6B"/>
    <w:rsid w:val="0072142A"/>
    <w:rsid w:val="0074644B"/>
    <w:rsid w:val="00781796"/>
    <w:rsid w:val="00792A19"/>
    <w:rsid w:val="00795D17"/>
    <w:rsid w:val="007A26BD"/>
    <w:rsid w:val="007A3A51"/>
    <w:rsid w:val="007A4CD7"/>
    <w:rsid w:val="007D4488"/>
    <w:rsid w:val="007D4538"/>
    <w:rsid w:val="007D52ED"/>
    <w:rsid w:val="007D5B56"/>
    <w:rsid w:val="00801213"/>
    <w:rsid w:val="00812EA6"/>
    <w:rsid w:val="00836833"/>
    <w:rsid w:val="00842A08"/>
    <w:rsid w:val="00852014"/>
    <w:rsid w:val="008679B1"/>
    <w:rsid w:val="008A5C1D"/>
    <w:rsid w:val="008A6B32"/>
    <w:rsid w:val="008C42B5"/>
    <w:rsid w:val="008D0CDD"/>
    <w:rsid w:val="008F5EDD"/>
    <w:rsid w:val="008F7A0E"/>
    <w:rsid w:val="00900EF4"/>
    <w:rsid w:val="0090466F"/>
    <w:rsid w:val="0090485A"/>
    <w:rsid w:val="009216CD"/>
    <w:rsid w:val="009277D4"/>
    <w:rsid w:val="00946CA7"/>
    <w:rsid w:val="0095423A"/>
    <w:rsid w:val="00964DE1"/>
    <w:rsid w:val="00971694"/>
    <w:rsid w:val="00977A39"/>
    <w:rsid w:val="00985474"/>
    <w:rsid w:val="009905AC"/>
    <w:rsid w:val="009A055C"/>
    <w:rsid w:val="009A5E50"/>
    <w:rsid w:val="009B7917"/>
    <w:rsid w:val="009C01CD"/>
    <w:rsid w:val="009C287A"/>
    <w:rsid w:val="009C2F70"/>
    <w:rsid w:val="009C4580"/>
    <w:rsid w:val="009D2EA8"/>
    <w:rsid w:val="009D3DE9"/>
    <w:rsid w:val="009D42B1"/>
    <w:rsid w:val="009E1053"/>
    <w:rsid w:val="009E5495"/>
    <w:rsid w:val="009F20CC"/>
    <w:rsid w:val="009F2680"/>
    <w:rsid w:val="00A024AF"/>
    <w:rsid w:val="00A178F0"/>
    <w:rsid w:val="00A36C62"/>
    <w:rsid w:val="00A42AEE"/>
    <w:rsid w:val="00A468FD"/>
    <w:rsid w:val="00A5489C"/>
    <w:rsid w:val="00A55402"/>
    <w:rsid w:val="00A55C53"/>
    <w:rsid w:val="00A56351"/>
    <w:rsid w:val="00A57318"/>
    <w:rsid w:val="00A60050"/>
    <w:rsid w:val="00A6037B"/>
    <w:rsid w:val="00A61A84"/>
    <w:rsid w:val="00A6256B"/>
    <w:rsid w:val="00A80B0B"/>
    <w:rsid w:val="00A83EDF"/>
    <w:rsid w:val="00A95235"/>
    <w:rsid w:val="00AA05B2"/>
    <w:rsid w:val="00AA0823"/>
    <w:rsid w:val="00AA78D2"/>
    <w:rsid w:val="00AB001A"/>
    <w:rsid w:val="00AB3D6F"/>
    <w:rsid w:val="00AB7F27"/>
    <w:rsid w:val="00AC22FB"/>
    <w:rsid w:val="00AC61A2"/>
    <w:rsid w:val="00AE124B"/>
    <w:rsid w:val="00B024F7"/>
    <w:rsid w:val="00B03ADE"/>
    <w:rsid w:val="00B12846"/>
    <w:rsid w:val="00B14C61"/>
    <w:rsid w:val="00B151D1"/>
    <w:rsid w:val="00B161F0"/>
    <w:rsid w:val="00B21FAA"/>
    <w:rsid w:val="00B237D8"/>
    <w:rsid w:val="00B24041"/>
    <w:rsid w:val="00B30008"/>
    <w:rsid w:val="00B40924"/>
    <w:rsid w:val="00B50F59"/>
    <w:rsid w:val="00B56023"/>
    <w:rsid w:val="00B57DA1"/>
    <w:rsid w:val="00B63B03"/>
    <w:rsid w:val="00B86EDB"/>
    <w:rsid w:val="00BA2979"/>
    <w:rsid w:val="00BA572D"/>
    <w:rsid w:val="00BA65BC"/>
    <w:rsid w:val="00BC0EFA"/>
    <w:rsid w:val="00BC3EF4"/>
    <w:rsid w:val="00BC45F1"/>
    <w:rsid w:val="00BC5BF0"/>
    <w:rsid w:val="00BE0B25"/>
    <w:rsid w:val="00BE3669"/>
    <w:rsid w:val="00BE5C9A"/>
    <w:rsid w:val="00BF2E96"/>
    <w:rsid w:val="00C002E7"/>
    <w:rsid w:val="00C126F3"/>
    <w:rsid w:val="00C2760B"/>
    <w:rsid w:val="00C40EB9"/>
    <w:rsid w:val="00C41753"/>
    <w:rsid w:val="00C4278D"/>
    <w:rsid w:val="00C45168"/>
    <w:rsid w:val="00C52ADC"/>
    <w:rsid w:val="00C54EA7"/>
    <w:rsid w:val="00C64663"/>
    <w:rsid w:val="00C65765"/>
    <w:rsid w:val="00C74BFB"/>
    <w:rsid w:val="00C800A2"/>
    <w:rsid w:val="00C83065"/>
    <w:rsid w:val="00CA0671"/>
    <w:rsid w:val="00CA188F"/>
    <w:rsid w:val="00CB6BD3"/>
    <w:rsid w:val="00CC1359"/>
    <w:rsid w:val="00CD1B3E"/>
    <w:rsid w:val="00CD52D2"/>
    <w:rsid w:val="00CD68E6"/>
    <w:rsid w:val="00CE58BC"/>
    <w:rsid w:val="00CE6F80"/>
    <w:rsid w:val="00D06809"/>
    <w:rsid w:val="00D16CED"/>
    <w:rsid w:val="00D24645"/>
    <w:rsid w:val="00D36C55"/>
    <w:rsid w:val="00D42EAC"/>
    <w:rsid w:val="00D57EB1"/>
    <w:rsid w:val="00D62A1F"/>
    <w:rsid w:val="00D72EC7"/>
    <w:rsid w:val="00D73890"/>
    <w:rsid w:val="00D83636"/>
    <w:rsid w:val="00D84079"/>
    <w:rsid w:val="00DD181C"/>
    <w:rsid w:val="00DD5D77"/>
    <w:rsid w:val="00DE6E76"/>
    <w:rsid w:val="00E1717D"/>
    <w:rsid w:val="00E20D49"/>
    <w:rsid w:val="00E221D1"/>
    <w:rsid w:val="00E23305"/>
    <w:rsid w:val="00E24F1A"/>
    <w:rsid w:val="00E30FFC"/>
    <w:rsid w:val="00E34B28"/>
    <w:rsid w:val="00E61C1D"/>
    <w:rsid w:val="00E67C99"/>
    <w:rsid w:val="00E70AFA"/>
    <w:rsid w:val="00EA070A"/>
    <w:rsid w:val="00EA42C0"/>
    <w:rsid w:val="00EB2A1A"/>
    <w:rsid w:val="00EB2FFB"/>
    <w:rsid w:val="00EB5399"/>
    <w:rsid w:val="00EC6329"/>
    <w:rsid w:val="00ED1EE1"/>
    <w:rsid w:val="00ED33A6"/>
    <w:rsid w:val="00ED4601"/>
    <w:rsid w:val="00ED53BF"/>
    <w:rsid w:val="00F00ECF"/>
    <w:rsid w:val="00F016F2"/>
    <w:rsid w:val="00F02FDE"/>
    <w:rsid w:val="00F0582B"/>
    <w:rsid w:val="00F233F2"/>
    <w:rsid w:val="00F23FCA"/>
    <w:rsid w:val="00F276C9"/>
    <w:rsid w:val="00F333FA"/>
    <w:rsid w:val="00F37730"/>
    <w:rsid w:val="00F41BF9"/>
    <w:rsid w:val="00F41FFB"/>
    <w:rsid w:val="00F506C2"/>
    <w:rsid w:val="00F50E25"/>
    <w:rsid w:val="00F51C45"/>
    <w:rsid w:val="00F57310"/>
    <w:rsid w:val="00F61F12"/>
    <w:rsid w:val="00F6273D"/>
    <w:rsid w:val="00F65A60"/>
    <w:rsid w:val="00F67AAF"/>
    <w:rsid w:val="00F705B8"/>
    <w:rsid w:val="00F8133A"/>
    <w:rsid w:val="00F87B3B"/>
    <w:rsid w:val="00F96F2A"/>
    <w:rsid w:val="00FA2EB7"/>
    <w:rsid w:val="00FA6A83"/>
    <w:rsid w:val="00FD064D"/>
    <w:rsid w:val="00FE2810"/>
    <w:rsid w:val="00FE4886"/>
    <w:rsid w:val="08B11FF8"/>
    <w:rsid w:val="099966A5"/>
    <w:rsid w:val="09F972AE"/>
    <w:rsid w:val="0A3359A0"/>
    <w:rsid w:val="0B7C20F1"/>
    <w:rsid w:val="0CD170B0"/>
    <w:rsid w:val="0CEC23C0"/>
    <w:rsid w:val="1A4B4D67"/>
    <w:rsid w:val="1FA728AB"/>
    <w:rsid w:val="202669B6"/>
    <w:rsid w:val="2AA56A66"/>
    <w:rsid w:val="2B606BD1"/>
    <w:rsid w:val="3184660C"/>
    <w:rsid w:val="3B39481F"/>
    <w:rsid w:val="3EFFFC8E"/>
    <w:rsid w:val="3F2A4067"/>
    <w:rsid w:val="3FB42A4F"/>
    <w:rsid w:val="3FD5C798"/>
    <w:rsid w:val="4BB74719"/>
    <w:rsid w:val="56327C6C"/>
    <w:rsid w:val="56C45C78"/>
    <w:rsid w:val="5824245E"/>
    <w:rsid w:val="5A6D2E1C"/>
    <w:rsid w:val="5C8C4F87"/>
    <w:rsid w:val="5D514AC5"/>
    <w:rsid w:val="600F07A7"/>
    <w:rsid w:val="60786CF1"/>
    <w:rsid w:val="6359415A"/>
    <w:rsid w:val="6AC20392"/>
    <w:rsid w:val="6D015380"/>
    <w:rsid w:val="71501F9E"/>
    <w:rsid w:val="72A71D0A"/>
    <w:rsid w:val="733F7F04"/>
    <w:rsid w:val="73ED4EAB"/>
    <w:rsid w:val="74404234"/>
    <w:rsid w:val="74E4BD75"/>
    <w:rsid w:val="767F083C"/>
    <w:rsid w:val="76EF0681"/>
    <w:rsid w:val="77CA6C9F"/>
    <w:rsid w:val="77ED7654"/>
    <w:rsid w:val="77EFD542"/>
    <w:rsid w:val="78F02F79"/>
    <w:rsid w:val="79FF6530"/>
    <w:rsid w:val="7C360692"/>
    <w:rsid w:val="7DDBD71D"/>
    <w:rsid w:val="7F51506B"/>
    <w:rsid w:val="7FB7199C"/>
    <w:rsid w:val="7FCF66D5"/>
    <w:rsid w:val="7FDB27C3"/>
    <w:rsid w:val="9C7F2A81"/>
    <w:rsid w:val="A3842FCE"/>
    <w:rsid w:val="AF763250"/>
    <w:rsid w:val="B7FE8933"/>
    <w:rsid w:val="BBFDFD37"/>
    <w:rsid w:val="DEEF2DBE"/>
    <w:rsid w:val="F8FFEDB5"/>
    <w:rsid w:val="FFBFEF21"/>
    <w:rsid w:val="FFD70A01"/>
    <w:rsid w:val="FFDA605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60" w:after="80"/>
      <w:outlineLvl w:val="1"/>
    </w:pPr>
    <w:rPr>
      <w:rFonts w:ascii="Cambria" w:hAnsi="Cambria" w:eastAsia="宋体" w:cs="Times New Roman"/>
      <w:color w:val="366091"/>
      <w:sz w:val="40"/>
      <w:szCs w:val="40"/>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4"/>
      <w:szCs w:val="24"/>
      <w:lang w:val="en-US" w:eastAsia="en-US" w:bidi="ar-SA"/>
    </w:rPr>
  </w:style>
  <w:style w:type="paragraph" w:styleId="4">
    <w:name w:val="Balloon Text"/>
    <w:basedOn w:val="1"/>
    <w:semiHidden/>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bCs/>
    </w:rPr>
  </w:style>
  <w:style w:type="character" w:styleId="11">
    <w:name w:val="annotation reference"/>
    <w:basedOn w:val="9"/>
    <w:qFormat/>
    <w:uiPriority w:val="0"/>
    <w:rPr>
      <w:sz w:val="16"/>
      <w:szCs w:val="16"/>
    </w:rPr>
  </w:style>
  <w:style w:type="character" w:customStyle="1" w:styleId="12">
    <w:name w:val="页脚 字符"/>
    <w:link w:val="5"/>
    <w:qFormat/>
    <w:uiPriority w:val="0"/>
    <w:rPr>
      <w:kern w:val="2"/>
      <w:sz w:val="18"/>
      <w:szCs w:val="18"/>
    </w:rPr>
  </w:style>
  <w:style w:type="character" w:customStyle="1" w:styleId="13">
    <w:name w:val="页眉 字符"/>
    <w:link w:val="6"/>
    <w:qFormat/>
    <w:uiPriority w:val="0"/>
    <w:rPr>
      <w:kern w:val="2"/>
      <w:sz w:val="18"/>
      <w:szCs w:val="18"/>
    </w:rPr>
  </w:style>
  <w:style w:type="paragraph" w:customStyle="1" w:styleId="14">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15">
    <w:name w:val="Table Text"/>
    <w:basedOn w:val="1"/>
    <w:semiHidden/>
    <w:qFormat/>
    <w:uiPriority w:val="0"/>
    <w:rPr>
      <w:rFonts w:ascii="宋体" w:hAnsi="宋体" w:eastAsia="宋体" w:cs="宋体"/>
      <w:sz w:val="24"/>
      <w:szCs w:val="24"/>
      <w:lang w:val="en-US" w:eastAsia="en-US" w:bidi="ar-SA"/>
    </w:rPr>
  </w:style>
  <w:style w:type="table" w:customStyle="1" w:styleId="16">
    <w:name w:val="Table Normal_0"/>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4</Pages>
  <Words>3174</Words>
  <Characters>3217</Characters>
  <Lines>10</Lines>
  <Paragraphs>2</Paragraphs>
  <TotalTime>157256161</TotalTime>
  <ScaleCrop>false</ScaleCrop>
  <LinksUpToDate>false</LinksUpToDate>
  <CharactersWithSpaces>3350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2010-03-22T17:37:00Z</dcterms:created>
  <dc:creator>User</dc:creator>
  <cp:lastModifiedBy>欣辰爹</cp:lastModifiedBy>
  <cp:lastPrinted>2018-09-17T08:55:00Z</cp:lastPrinted>
  <dcterms:modified xsi:type="dcterms:W3CDTF">2026-09-14T07:49:11Z</dcterms:modified>
  <dc:title>购 货 协 议 书</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FB7D221A26E94CF9B4AD696A5B804D05_13</vt:lpwstr>
  </property>
  <property fmtid="{D5CDD505-2E9C-101B-9397-08002B2CF9AE}" pid="3" name="KSOProductBuildVer">
    <vt:lpwstr>2052-12.1.0.28505</vt:lpwstr>
  </property>
  <property fmtid="{D5CDD505-2E9C-101B-9397-08002B2CF9AE}" pid="4" name="KSOTemplateDocerSaveRecord">
    <vt:lpwstr>eyJoZGlkIjoiZWUwZDIzNDZiYWQyOGE1ODRlOTg5OTcyMmVkYjFhNjkiLCJ1c2VySWQiOiIzMDc0NzE3NzEifQ==</vt:lpwstr>
  </property>
</Properties>
</file>